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InfrGG — Parlamentarische Kontrolle</w:t>
      </w:r>
    </w:p>
    <w:p>
      <w:r>
        <w:rPr>
          <w:color w:val="555555"/>
          <w:sz w:val="18"/>
        </w:rPr>
        <w:t xml:space="preserve">Infrastrukturgesellschaftserrichtungsgesetz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für die parlamentarische Kontrolle von Bundesbeteiligungen zuständige, in § 69a der Bundeshaushaltsordnung benannte Gremium wird von der Bundesregierung laufend über alle die Beteiligungsführung betreffenden Fragen unterrichtet.</w:t>
      </w:r>
    </w:p>
    <w:p>
      <w:r>
        <w:t xml:space="preserve">(2) Das Gremium ist befugt, Vertreter der Geschäftsführung der Gesellschaft und ihrer Tochtergesellschaften zu laden. Diese sind zur Auskunft vor dem Gremium berechtigt und verpflichtet.</w:t>
      </w:r>
    </w:p>
    <w:p>
      <w:r>
        <w:rPr>
          <w:color w:val="555555"/>
          <w:sz w:val="17"/>
        </w:rPr>
        <w:t xml:space="preserve">Zitiervorschlag: § 9 InfrGG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