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InfrGG — Beleihung</w:t>
      </w:r>
    </w:p>
    <w:p>
      <w:r>
        <w:rPr>
          <w:color w:val="555555"/>
          <w:sz w:val="18"/>
        </w:rPr>
        <w:t xml:space="preserve">Infrastrukturgesellschaftserrichtungsgesetz</w:t>
      </w:r>
    </w:p>
    <w:p>
      <w:r>
        <w:rPr>
          <w:color w:val="555555"/>
          <w:sz w:val="18"/>
        </w:rPr>
        <w:t xml:space="preserve">Stand: 05.01.2024 (konsolidierte Textfassung, kein amtliches Inkrafttretensdatum)</w:t>
      </w:r>
    </w:p>
    <w:p>
      <w:r>
        <w:t xml:space="preserve">Das Bundesministerium für Digitales und Verkehr wird ermächtigt, die Gesellschaft privaten Rechts durch Rechtsverordnung ohne Zustimmung des Bundesrates mit den Befugnissen, die für die Planung, den Bau, den Betrieb, die Erhaltung, die Finanzierung und die vermögensmäßige Verwaltung der Bundesautobahnen erforderlich sind, zu beleihen. Satz 1 umfasst auch die Befugnisse, die für das Finanzmanagement für die Bundesstraßen erforderlich sind, sowie Befugnisse zur Durchführung des Straßenverkehrsgesetzes und der auf Grund des Straßenverkehrsgesetzes erlassenen Rechtsverordnungen nach Maßgabe des § 4 des Fernstraßen-Bundesamt-Errichtungsgesetzes. Von den Sätzen 1 und 2 ausgenommen sind die Befugnisse, die das Fernstraßen-Bundesamt nach § 2 des Fernstraßen-Bundesamt-Errichtungsgesetzes ausübt. Sofern auf Antrag eines Landes sonstige Bundesstraßen des Fernverkehrs, soweit sie im Gebiet dieses Landes liegen, nach Artikel 90 Absatz 4 oder Artikel 143e Absatz 2 des Grundgesetzes in Bundesverwaltung übernommen werden, gilt die Ermächtigung des Satzes 1 auch für die Bundesstraßen.</w:t>
      </w:r>
    </w:p>
    <w:p>
      <w:r>
        <w:rPr>
          <w:color w:val="555555"/>
          <w:sz w:val="17"/>
        </w:rPr>
        <w:t xml:space="preserve">Zitiervorschlag: § 6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