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InfrGG — Sitz der Gesellschaft, Tochtergesellschaften</w:t>
      </w:r>
    </w:p>
    <w:p>
      <w:r>
        <w:rPr>
          <w:color w:val="555555"/>
          <w:sz w:val="18"/>
        </w:rPr>
        <w:t xml:space="preserve">Infrastrukturgesellschaftserrichtungsgesetz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Sitz der Gesellschaft privaten Rechts ist Berlin.</w:t>
      </w:r>
    </w:p>
    <w:p>
      <w:r>
        <w:t xml:space="preserve">(2) Die Gesellschaft privaten Rechts kann bedarfsgerecht bis zu zehn regionale Tochtergesellschaften einrichten, die im unveräußerlichen Eigentum des Bundes stehen. Die Beteiligung Dritter an den Tochtergesellschaften ist ausgeschlossen.</w:t>
      </w:r>
    </w:p>
    <w:p>
      <w:r>
        <w:rPr>
          <w:color w:val="555555"/>
          <w:sz w:val="17"/>
        </w:rPr>
        <w:t xml:space="preserve">Zitiervorschlag: § 4 InfrGG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https://recht.nulegal.eu/gesetze/InfrGG/4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