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InfrAG — Abgabensätze</w:t>
      </w:r>
    </w:p>
    <w:p>
      <w:r>
        <w:rPr>
          <w:color w:val="555555"/>
          <w:sz w:val="18"/>
        </w:rPr>
        <w:t xml:space="preserve">Infrastrukturabgabengesetz</w:t>
      </w:r>
    </w:p>
    <w:p>
      <w:r>
        <w:rPr>
          <w:color w:val="555555"/>
          <w:sz w:val="18"/>
        </w:rPr>
        <w:t xml:space="preserve">Historische Fassung: Stand 10.06.2019 bis 28.11.2023. Dies ist nicht die aktuelle Fassung.</w:t>
      </w:r>
    </w:p>
    <w:p>
      <w:r>
        <w:t xml:space="preserve">Die Höhe der Infrastrukturabgabe bestimmt sich nach der Anlage. Die zu entrichtende Infrastrukturabgabe ist jeweils auf volle Euro nach unten abzurunden.</w:t>
      </w:r>
    </w:p>
    <w:p>
      <w:r>
        <w:rPr>
          <w:color w:val="555555"/>
          <w:sz w:val="17"/>
        </w:rPr>
        <w:t xml:space="preserve">Zitiervorschlag: § 8 InfrAG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