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InfrAG — Entrichtung der Infrastrukturabgabe</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Die Infrastrukturabgabe ist von dem Schuldner nach § 3 vor Benutzung von abgabepflichtigen Straßen im Sinne des § 1 Absatz 1, auch in Verbindung mit Absatz 2 und § 2 Absatz 3, durch Erwerb einer elektronischen Vignette (Vignette) an die Infrastrukturabgabebehörde zu entrichten. Die Höhe der jeweilig zu entrichtenden Infrastrukturabgabe ergibt sich aus der Anlage zu § 8. Sie wird für in der Bundesrepublik Deutschland zugelassene Kraftfahrzeuge von der Infrastrukturabgabebehörde durch Bescheid festgesetzt. Für im Ausland zugelassene Kraftfahrzeuge gilt die bei Erwerb der Vignette ausgegebene Buchungsbestätigung als Bescheid. Unbeschadet des Satzes 1 gilt die Vignette für Kraftfahrzeuge, die in der Bundesrepublik Deutschland zugelassen sind, mit erteilter Zulassung als erworben. Die Vignette gilt für ein bestimmtes Kraftfahrzeug mit dem ihm zugeteilten Kennzeichen. Der Erwerb der Vignette berechtigt zur Benutzung aller Straßen im Sinne des § 1 Absatz 1, auch in Verbindung mit Absatz 2 und § 2 Absatz 3, während des Zeitraums der Gültigkeit der Vignette. Ein Widerspruchsverfahren findet nicht statt.</w:t>
      </w:r>
    </w:p>
    <w:p>
      <w:r>
        <w:t xml:space="preserve">(2) Die Verpflichtung zur Entrichtung der Infrastrukturabgabe entsteht erstmals für Kraftfahrzeuge, die in der Bundesrepublik Deutschland zugelassen sind und die</w:t>
      </w:r>
    </w:p>
    <w:p>
      <w:pPr>
        <w:ind w:left="420"/>
      </w:pPr>
      <w:r>
        <w:t xml:space="preserve">1. vor dem nach § 16 festgelegten Beginn der Abgabenerhebung zugelassen worden sind, zum Zeitpunkt des nach § 16 festgelegten Beginns der Abgabenerhebung,</w:t>
      </w:r>
    </w:p>
    <w:p>
      <w:pPr>
        <w:ind w:left="420"/>
      </w:pPr>
      <w:r>
        <w:t xml:space="preserve">2. ab dem nach § 16 festgelegten Beginn der Abgabenerhebung zugelassen werden, zum Zeitpunkt der Zulassung des Fahrzeugs.</w:t>
      </w:r>
    </w:p>
    <w:p>
      <w:r>
        <w:t xml:space="preserve">In den Fällen des Satzes 1 Nummer 1 ist die erstmalige Entrichtung der Abgabe bis zum Ende des laufenden Entrichtungszeitraums der Kraftfahrzeugsteuer (Rumpfjahr) für das jeweilige Kraftfahrzeug zinslos gestundet. Halter von Kraftfahrzeugen im Sinne des § 1 Absatz 1 haben in den Fällen des Satzes 1 ein SEPA-Lastschrift-Mandat zugunsten der Infrastrukturabgabebehörde zum Einzug der Infrastrukturabgabe vom Konto des Fahrzeughalters oder vom Konto eines Dritten bei einem Geldinstitut zu erteilen. Das SEPA-Lastschrift-Mandat nach Satz 3 ist der Infrastrukturabgabebehörde zu erteilen</w:t>
      </w:r>
    </w:p>
    <w:p>
      <w:pPr>
        <w:ind w:left="420"/>
      </w:pPr>
      <w:r>
        <w:t xml:space="preserve">1. im Falle des Satzes 1 Nummer 1 spätestens einen Monat vor Beginn des jeweiligen individuellen Entrichtungszeitraums und</w:t>
      </w:r>
    </w:p>
    <w:p>
      <w:pPr>
        <w:ind w:left="420"/>
      </w:pPr>
      <w:r>
        <w:t xml:space="preserve">2. im Falle des Satzes 1 Nummer 2 nach Maßgabe des § 9 Absatz 3 und 4 mit dem Antrag auf Zulassung des Fahrzeugs.</w:t>
      </w:r>
    </w:p>
    <w:p>
      <w:r>
        <w:t xml:space="preserve">(3) § 13 Absatz 3, die §§ 14, 16 bis 19 und 21 des Bundesgebührengesetzes sind, soweit sich aus diesem Gesetz oder aus den auf Grund dieses Gesetzes erlassenen Rechtsverordnungen nicht etwas anderes ergibt, mit der Maßgabe anzuwenden, dass abweichend von § 16 Absatz 1 des Bundesgebührengesetzes ein Säumniszuschlag erhoben werden kann,</w:t>
      </w:r>
    </w:p>
    <w:p>
      <w:pPr>
        <w:ind w:left="420"/>
      </w:pPr>
      <w:r>
        <w:t xml:space="preserve">1. der 5 Prozentpunkte über dem Basiszinssatz des rückständigen Betrages jährlich beträgt und</w:t>
      </w:r>
    </w:p>
    <w:p>
      <w:pPr>
        <w:ind w:left="420"/>
      </w:pPr>
      <w:r>
        <w:t xml:space="preserve">2. der mit Ablauf des fünften Tages nach dem Tag der Fälligkeit der Infrastrukturabgabe zu entrichten ist.</w:t>
      </w:r>
    </w:p>
    <w:p>
      <w:r>
        <w:t xml:space="preserve">(4) Die Verpflichtung zur Entrichtung der Infrastrukturabgabe für ein Kraftfahrzeug, das nicht in der Bundesrepublik Deutschland zugelassen ist, entsteht mit der ersten Benutzung einer abgabepflichtigen Straße im Sinne des § 1 Absatz 1, auch in Verbindung mit Absatz 2 und § 2 Absatz 3, nach einem Grenzübertritt. Schuldner der Infrastrukturabgabe für Kraftfahrzeuge, die nicht in der Bundesrepublik Deutschland zugelassen sind, haben bei der Erhebung der Infrastrukturabgabe mitzuwirken und die für die Infrastrukturabgabe maßgeblichen Tatsachen ordnungsgemäß anzugeben. Das Bundesministerium für Verkehr und digitale Infrastruktur wird ermächtigt, durch Rechtsverordnung ohne Zustimmung des Bundesrates Einzelheiten zur Mitwirkung bei der Erhebung der Infrastrukturabgabe nach Satz 2 zu regeln.</w:t>
      </w:r>
    </w:p>
    <w:p>
      <w:r>
        <w:rPr>
          <w:color w:val="555555"/>
          <w:sz w:val="17"/>
        </w:rPr>
        <w:t xml:space="preserve">Zitiervorschlag: § 5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