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InfrAG — Infrastrukturabgabebehörde</w:t>
      </w:r>
    </w:p>
    <w:p>
      <w:r>
        <w:rPr>
          <w:color w:val="555555"/>
          <w:sz w:val="18"/>
        </w:rPr>
        <w:t xml:space="preserve">Infrastrukturabgabengesetz</w:t>
      </w:r>
    </w:p>
    <w:p>
      <w:r>
        <w:rPr>
          <w:color w:val="555555"/>
          <w:sz w:val="18"/>
        </w:rPr>
        <w:t xml:space="preserve">Historische Fassung: Stand 10.06.2019 bis 28.11.2023. Dies ist nicht die aktuelle Fassung.</w:t>
      </w:r>
    </w:p>
    <w:p>
      <w:r>
        <w:t xml:space="preserve">(1) Das Kraftfahrt-Bundesamt ist zuständig für die Erhebung der Infrastrukturabgabe. Es kann einem privaten Dritten die Erhebung der Infrastrukturabgabe, die Durchführung der Mahnungen nach § 3 Absatz 3 des Verwaltungs-Vollstreckungsgesetzes und den Erlass von Vollstreckungsanordnungen übertragen (Betreiber). Die Übertragung nach Satz 2 ist vom Kraftfahrt-Bundesamt im Bundesanzeiger bekannt zu geben. Der Betreiber unterliegt der Aufsicht des Kraftfahrt-Bundesamtes.</w:t>
      </w:r>
    </w:p>
    <w:p>
      <w:r>
        <w:t xml:space="preserve">(2) Im Falle der Übertragung nach Absatz 1 Satz 2 hat der Betreiber die Einnahmen aus der Erhebung der Infrastrukturabgabe taggleich an eine Bundeskasse abzuführen. Soweit es für die Erfüllung der übertragenen haushaltsrechtlichen Aufgaben erforderlich ist, kann der Betreiber Anordnungen zur Annahme oder Leistung von Zahlungen nach § 70 der Bundeshaushaltsordnung erteilen, die von den Bundeskassen ausgeführt werden. Dem Betreiber obliegt zur Erfüllung der Aufgaben außerdem die Wahrnehmung des Zahlungsverkehrs als für Zahlungen zuständige Stelle. Die notwendigen Bestimmungen der Bundeshaushaltsordnung und die dazu erlassenen Ausführungsbestimmungen sind insoweit entsprechend anzuwenden. Das Nähere wird im Einvernehmen mit dem Bundesministerium der Finanzen bestimmt.</w:t>
      </w:r>
    </w:p>
    <w:p>
      <w:r>
        <w:rPr>
          <w:color w:val="555555"/>
          <w:sz w:val="17"/>
        </w:rPr>
        <w:t xml:space="preserve">Zitiervorschlag: § 4 InfrAG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