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InfrAG — Schuldner der Infrastrukturabgabe</w:t>
      </w:r>
    </w:p>
    <w:p>
      <w:r>
        <w:rPr>
          <w:color w:val="555555"/>
          <w:sz w:val="18"/>
        </w:rPr>
        <w:t xml:space="preserve">Infrastrukturabgabengesetz</w:t>
      </w:r>
    </w:p>
    <w:p>
      <w:r>
        <w:rPr>
          <w:color w:val="555555"/>
          <w:sz w:val="18"/>
        </w:rPr>
        <w:t xml:space="preserve">Historische Fassung: Stand 10.06.2019 bis 28.11.2023. Dies ist nicht die aktuelle Fassung.</w:t>
      </w:r>
    </w:p>
    <w:p>
      <w:r>
        <w:t xml:space="preserve">Schuldner der Infrastrukturabgabe ist</w:t>
      </w:r>
    </w:p>
    <w:p>
      <w:pPr>
        <w:ind w:left="420"/>
      </w:pPr>
      <w:r>
        <w:t xml:space="preserve">1. der Halter des Kraftfahrzeugs oder</w:t>
      </w:r>
    </w:p>
    <w:p>
      <w:pPr>
        <w:ind w:left="420"/>
      </w:pPr>
      <w:r>
        <w:t xml:space="preserve">2. der Führer des Kraftfahrzeugs während der abgabenpflichtigen Benutzung von Straßen im Sinne des § 1 Absatz 1, auch in Verbindung mit Absatz 2 und § 2 Absatz 3.</w:t>
      </w:r>
    </w:p>
    <w:p>
      <w:r>
        <w:t xml:space="preserve">Im Falle eines Fahrzeugs, das in der Bundesrepublik Deutschland zugelassen ist, ist abweichend von Satz 1 nur der Halter des Fahrzeugs der Schuldner der Infrastrukturabgabe. Die kumulative Inanspruchnahme beider Schuldner ist unzulässig. Mehrere Schuldner der Infrastrukturabgabe haften als Gesamtschuldner.</w:t>
      </w:r>
    </w:p>
    <w:p>
      <w:r>
        <w:rPr>
          <w:color w:val="555555"/>
          <w:sz w:val="17"/>
        </w:rPr>
        <w:t xml:space="preserve">Zitiervorschlag: § 3 InfrAG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https://recht.nulegal.eu/gesetze/InfrAG/3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