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InfrAG — Abgabenaufkommen</w:t>
      </w:r>
    </w:p>
    <w:p>
      <w:r>
        <w:rPr>
          <w:color w:val="555555"/>
          <w:sz w:val="18"/>
        </w:rPr>
        <w:t xml:space="preserve">Infrastrukturabgabengesetz</w:t>
      </w:r>
    </w:p>
    <w:p>
      <w:r>
        <w:rPr>
          <w:color w:val="555555"/>
          <w:sz w:val="18"/>
        </w:rPr>
        <w:t xml:space="preserve">Historische Fassung: Stand 01.01.2021 bis 28.11.2023. Dies ist nicht die aktuelle Fassung.</w:t>
      </w:r>
    </w:p>
    <w:p>
      <w:r>
        <w:t xml:space="preserve">(1) Das Aufkommen aus der Erhebung der Infrastrukturabgabe steht unbeschadet des § 5a des Bundesfernstraßengesetzes dem Bund zu. Ausgaben für</w:t>
      </w:r>
    </w:p>
    <w:p>
      <w:pPr>
        <w:ind w:left="420"/>
      </w:pPr>
      <w:r>
        <w:t xml:space="preserve">1. Betrieb, Überwachung und Kontrolle des Abgabensystems,</w:t>
      </w:r>
    </w:p>
    <w:p>
      <w:pPr>
        <w:ind w:left="420"/>
      </w:pPr>
      <w:r>
        <w:t xml:space="preserve">2. Erstattungen nach § 10 und</w:t>
      </w:r>
    </w:p>
    <w:p>
      <w:pPr>
        <w:ind w:left="420"/>
      </w:pPr>
      <w:r>
        <w:t xml:space="preserve">3. den im Zusammenhang mit der Infrastrukturabgabe entstehenden Aufwand für die Vollstreckung der Infrastrukturabgabe und bei der Kraftfahrzeugsteuerverwaltung</w:t>
      </w:r>
    </w:p>
    <w:p>
      <w:r>
        <w:t xml:space="preserve">werden aus diesem Aufkommen geleistet. Das verbleibende Aufkommen wird dem Verkehrshaushalt zugeführt und in vollem Umfang zweckgebunden für die Verbesserung der Verkehrsinfrastruktur verwendet.</w:t>
      </w:r>
    </w:p>
    <w:p>
      <w:r>
        <w:t xml:space="preserve">(2) Der Bund stellt das verbleibende Aufkommen nach Absatz 1 Satz 3 der Gesellschaft privaten Rechts im Sinne des Infrastrukturgesellschaftserrichtungsgesetzes für das in ihrer Zuständigkeit befindliche Streckennetz mit der Zweckbindung nach Absatz 1 Satz 3 zur Verfügung.</w:t>
      </w:r>
    </w:p>
    <w:p>
      <w:r>
        <w:rPr>
          <w:color w:val="555555"/>
          <w:sz w:val="17"/>
        </w:rPr>
        <w:t xml:space="preserve">Zitiervorschlag: § 15 InfrAG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https://recht.nulegal.eu/gesetze/InfrAG/15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