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InfrAG — Bußgeldvorschriften</w:t>
      </w:r>
    </w:p>
    <w:p>
      <w:r>
        <w:rPr>
          <w:color w:val="555555"/>
          <w:sz w:val="18"/>
        </w:rPr>
        <w:t xml:space="preserve">Infrastrukturabgabengesetz</w:t>
      </w:r>
    </w:p>
    <w:p>
      <w:r>
        <w:rPr>
          <w:color w:val="555555"/>
          <w:sz w:val="18"/>
        </w:rPr>
        <w:t xml:space="preserve">Historische Fassung: Stand 09.03.2023 bis 28.11.2023.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5 Absatz 1 Satz 1 eine Infrastrukturabgabe nicht, nicht richtig, nicht in der vorgeschriebenen Weise oder nicht rechtzeitig entrichtet,</w:t>
      </w:r>
    </w:p>
    <w:p>
      <w:pPr>
        <w:ind w:left="420"/>
      </w:pPr>
      <w:r>
        <w:t xml:space="preserve">2. entgegen § 11 Absatz 5 Satz 3 eine Auskunft nicht, nicht richtig, nicht vollständig oder nicht rechtzeitig erteilt oder</w:t>
      </w:r>
    </w:p>
    <w:p>
      <w:pPr>
        <w:ind w:left="420"/>
      </w:pPr>
      <w:r>
        <w:t xml:space="preserve">3. einer vollziehbaren Anordnung nach § 11 Absatz 6 zuwiderhandelt.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Absatz 1 Nummer 1 des Gesetzes über Ordnungswidrigkeiten ist das Bundesamt für Logistik und Mobilität.</w:t>
      </w:r>
    </w:p>
    <w:p>
      <w:r>
        <w:rPr>
          <w:color w:val="555555"/>
          <w:sz w:val="17"/>
        </w:rPr>
        <w:t xml:space="preserve">Zitiervorschlag: § 14 InfrAG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https://recht.nulegal.eu/gesetze/InfrAG/14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