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InfrAG — Datenlöschung, Geschäftsstatistiken</w:t>
      </w:r>
    </w:p>
    <w:p>
      <w:r>
        <w:rPr>
          <w:color w:val="555555"/>
          <w:sz w:val="18"/>
        </w:rPr>
        <w:t xml:space="preserve">Infrastrukturabgabengesetz</w:t>
      </w:r>
    </w:p>
    <w:p>
      <w:r>
        <w:rPr>
          <w:color w:val="555555"/>
          <w:sz w:val="18"/>
        </w:rPr>
        <w:t xml:space="preserve">Historische Fassung: Stand 02.12.2019 bis 28.11.2023. Dies ist nicht die aktuelle Fassung.</w:t>
      </w:r>
    </w:p>
    <w:p>
      <w:r>
        <w:t xml:space="preserve">(1) Die Infrastrukturabgabebehörde hat die nach § 6 Absatz 7 Satz 1 abgerufenen Daten nach § 6 Absatz 2 Nummer 1, 2, 5 und 6 sowie die Daten nach § 6 Absatz 4 Satz 2 Nummer 1 und 2 ein Jahr nach Ablauf des Kalenderjahres, in dem der Entrichtungszeitraum endet, zu löschen. Die übrigen nach § 6 Absatz 7 Satz 1 abgerufenen Daten nach § 6 Absatz 2 sowie die übrigen Daten nach Absatz 4 Satz 2 sind sechs Jahre nach der Erhebung der Daten zu löschen.</w:t>
      </w:r>
    </w:p>
    <w:p>
      <w:r>
        <w:t xml:space="preserve">(2) Bilder und Daten, die im Rahmen der Überwachung nach § 11 Absatz 2 Satz 1 erhoben und gespeichert wurden, sind unverzüglich zu löschen, sobald feststeht, dass die Infrastrukturabgabe entrichtet worden ist.</w:t>
      </w:r>
    </w:p>
    <w:p>
      <w:r>
        <w:t xml:space="preserve">(3) Bilder und Daten, die im Rahmen der Überwachung nach § 11 Absatz 2 Satz 1 erhoben und gespeichert wurden, sind unmittelbar nach dem Kontrollvorgang zu löschen, wenn das Fahrzeug nicht der Abgabenpflicht unterliegt.</w:t>
      </w:r>
    </w:p>
    <w:p>
      <w:r>
        <w:t xml:space="preserve">(4) Nach diesem Gesetz gespeicherte Daten dürfen in anonymisierter Form zur Erstellung von Geschäftsstatistiken verwendet werden.</w:t>
      </w:r>
    </w:p>
    <w:p>
      <w:r>
        <w:rPr>
          <w:color w:val="555555"/>
          <w:sz w:val="17"/>
        </w:rPr>
        <w:t xml:space="preserve">Zitiervorschlag: § 13 InfrAG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https://recht.nulegal.eu/gesetze/InfrAG/13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