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InfrAG — Infrastrukturabgabe</w:t>
      </w:r>
    </w:p>
    <w:p>
      <w:r>
        <w:rPr>
          <w:color w:val="555555"/>
          <w:sz w:val="18"/>
        </w:rPr>
        <w:t xml:space="preserve">Infrastrukturabgabengesetz</w:t>
      </w:r>
    </w:p>
    <w:p>
      <w:r>
        <w:rPr>
          <w:color w:val="555555"/>
          <w:sz w:val="18"/>
        </w:rPr>
        <w:t xml:space="preserve">Historische Fassung: Stand 10.06.2019 bis 28.11.2023. Dies ist nicht die aktuelle Fassung.</w:t>
      </w:r>
    </w:p>
    <w:p>
      <w:r>
        <w:t xml:space="preserve">(1) Für die Benutzung der Bundesfernstraßen im Sinne des § 1 des Bundesfernstraßengesetzes mit</w:t>
      </w:r>
    </w:p>
    <w:p>
      <w:pPr>
        <w:ind w:left="420"/>
      </w:pPr>
      <w:r>
        <w:t xml:space="preserve">1. Kraftfahrzeugen der Klasse M1 oder M1G ohne besondere Zweckbestimmung im Sinne des Anhangs II Teil A Nummer 1, auch in Verbindung mit Nummer 4, der Richtlinie 2007/46/EG des Europäischen Parlaments und des Rates vom 5. September 2007 zur Schaffung eines Rahmens für die Genehmigung von Kraftfahrzeugen und Kraftfahrzeuganhängern sowie von Systemen, Bauteilen und selbstständigen technischen Einheiten für diese Fahrzeuge (ABl. L 263 vom 9.10.2007, S. 1), die zuletzt durch die Richtlinie 2013/15/EU (ABl. L 158 vom 10.6.2013, S. 172) geändert worden ist,</w:t>
      </w:r>
    </w:p>
    <w:p>
      <w:pPr>
        <w:ind w:left="420"/>
      </w:pPr>
      <w:r>
        <w:t xml:space="preserve">2. Kraftfahrzeugen der Klasse M mit besonderer Zweckbestimmung als Wohnmobil im Sinne des Anhangs II Teil A Nummer 1 in Verbindung mit Nummer 5.1 der Richtlinie 2007/46/EG oder</w:t>
      </w:r>
    </w:p>
    <w:p>
      <w:pPr>
        <w:ind w:left="420"/>
      </w:pPr>
      <w:r>
        <w:t xml:space="preserve">3. Kraftfahrzeugen der Klasse M1 oder M1G mit besonderer Zweckbestimmung als beschussgeschütztes Fahrzeug im Sinne des Anhangs II Teil A Nummer 1 in Verbindung mit den Nummern 4 und 5.2 der Richtlinie 2007/46/EG</w:t>
      </w:r>
    </w:p>
    <w:p>
      <w:r>
        <w:t xml:space="preserve">ist eine Abgabe zu entrichten (Infrastrukturabgabe).</w:t>
      </w:r>
    </w:p>
    <w:p>
      <w:r>
        <w:t xml:space="preserve">(2) Abweichend von Absatz 1 ist für die Benutzung von Bundesfernstraßen im Sinne des § 1 Absatz 2 Nummer 2 des Bundesfernstraßengesetzes (Bundesstraßen) mit in Absatz 1 bezeichneten Kraftfahrzeugen, die nicht in der Bundesrepublik Deutschland zugelassen sind, keine Infrastrukturabgabe zu entrichten.</w:t>
      </w:r>
    </w:p>
    <w:p>
      <w:r>
        <w:t xml:space="preserve">(3) Die Infrastrukturabgabe nach Absatz 1 ist nicht zu entrichten auf den Abschnitten von Bundesfernstraßen, für deren Benutzung eine Maut nach § 2 des Fernstraßenbauprivatfinanzierungsgesetzes erhoben wird.</w:t>
      </w:r>
    </w:p>
    <w:p>
      <w:r>
        <w:rPr>
          <w:color w:val="555555"/>
          <w:sz w:val="17"/>
        </w:rPr>
        <w:t xml:space="preserve">Zitiervorschlag: § 1 InfrAG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