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InfoGesStatG — Zweck der Statistik, Anordnung als Bundesstatistik</w:t>
      </w:r>
    </w:p>
    <w:p>
      <w:r>
        <w:rPr>
          <w:color w:val="555555"/>
          <w:sz w:val="18"/>
        </w:rPr>
        <w:t xml:space="preserve">Informationsgesellschaftsstatistikgesetz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Zur Erfüllung der Berichtspflichten der Europäischen Gemeinschaften nach der Verordnung (EG) Nr. 808/2004 des Europäischen Parlaments und des Rates vom 21. April 2004 über Gemeinschaftsstatistiken zur Informationsgesellschaft (ABl. EU Nr. L 143 S. 49) in der jeweils geltenden Fassung sowie den Verordnungen der Europäischen Gemeinschaften zur Durchführung dieser Verordnung und zur Gewinnung von Informationen über die Ausstattung mit Informations- und Kommunikationstechnologien sowie deren Nutzung in der Gesellschaft werden zu Unternehmen und zu Einrichtungen zur Ausübung freiberuflicher Tätigkeit Erhebungen als Bundesstatistik durchgeführt.</w:t>
      </w:r>
    </w:p>
    <w:p>
      <w:r>
        <w:rPr>
          <w:color w:val="555555"/>
          <w:sz w:val="17"/>
        </w:rPr>
        <w:t xml:space="preserve">Zitiervorschlag: § 1 InfoGesStatG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https://recht.nulegal.eu/gesetze/InfoGesStatG/1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