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InfKrankMV (Brandenburg) — Meldewege, Meldeinhalte</w:t>
      </w:r>
    </w:p>
    <w:p>
      <w:r>
        <w:rPr>
          <w:color w:val="555555"/>
          <w:sz w:val="18"/>
        </w:rPr>
        <w:t xml:space="preserve">Verordnung über die Erweiterung der Meldepflicht für Infektionskrankheiten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zuständige Gesundheitsamt übermittelt die nach den §§ 6 und 7 des Infektionsschutzgesetzes und auf Grund dieser Verordnung gemeldeten Erkrankungen, Todesfälle sowie Nachweise von Krankheitserregern gemäß § 11 Absatz 1 des Infektionsschutzgesetzes auf elektronischem Weg an das Landesamt für Arbeitsschutz, Verbraucherschutz und Gesundheit.</w:t>
      </w:r>
    </w:p>
    <w:p>
      <w:r>
        <w:rPr>
          <w:color w:val="555555"/>
          <w:sz w:val="17"/>
        </w:rPr>
        <w:t xml:space="preserve">Zitiervorschlag: § 3 InfKrankMV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https://recht.nulegal.eu/gesetze/InfKrankMV/3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