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InfKrankMV (Brandenburg) — Ausdehnung der Meldepflicht für meldepflichtige Nachweise von Krankheitserregern</w:t>
      </w:r>
    </w:p>
    <w:p>
      <w:r>
        <w:rPr>
          <w:color w:val="555555"/>
          <w:sz w:val="18"/>
        </w:rPr>
        <w:t xml:space="preserve">Verordnung über die Erweiterung der Meldepflicht für Infektionskrankheiten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Zusätzlich zu den nach § 7 Absatz 1 des Infektionsschutzgesetzes bestehenden Meldepflichten ist dem zuständigen Gesundheitsamt namentlich der direkte oder indirekte Nachweis der nachfolgend genannten Krankheitserreger zu melden, soweit die Nachweise auf eine akute Infektion hinweisen:</w:t>
      </w:r>
    </w:p>
    <w:p>
      <w:r>
        <w:t xml:space="preserve">Borrelia burgdorferi sp.,</w:t>
      </w:r>
    </w:p>
    <w:p>
      <w:r>
        <w:t xml:space="preserve">Mumpsvirus,</w:t>
      </w:r>
    </w:p>
    <w:p>
      <w:r>
        <w:t xml:space="preserve">Bordetella pertussis,</w:t>
      </w:r>
    </w:p>
    <w:p>
      <w:r>
        <w:t xml:space="preserve">Streptococcus pneumoniae,</w:t>
      </w:r>
    </w:p>
    <w:p>
      <w:r>
        <w:t xml:space="preserve">Rubellavirus und</w:t>
      </w:r>
    </w:p>
    <w:p>
      <w:r>
        <w:t xml:space="preserve">Varicella-Zoster-Virus.</w:t>
      </w:r>
    </w:p>
    <w:p>
      <w:r>
        <w:t xml:space="preserve">Für den Krankheitserreger Streptococcus pneumoniae bezieht sich die Meldepflicht auf die Erregerisolierung durch kulturellen Nachweis sowie auf den Antigen-Nachweis aus Blut, Liquor oder anderen normalerweise sterilen Substraten.</w:t>
      </w:r>
    </w:p>
    <w:p>
      <w:r>
        <w:rPr>
          <w:color w:val="555555"/>
          <w:sz w:val="17"/>
        </w:rPr>
        <w:t xml:space="preserve">Zitiervorschlag: § 2 InfKrankMV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https://recht.nulegal.eu/gesetze/InfKrankMV/2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