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IndMetMeistV 1997 — Umfang der Industriemeisterqualifikation und Gliederung der Prüfung</w:t>
      </w:r>
    </w:p>
    <w:p>
      <w:r>
        <w:rPr>
          <w:color w:val="555555"/>
          <w:sz w:val="18"/>
        </w:rPr>
        <w:t xml:space="preserve">Verordnung über die Prüfung zum anerkannten Abschluß Geprüfter Industriemeister/Geprüfte Industriemeisterin - Fachrichtung Metall</w:t>
      </w:r>
    </w:p>
    <w:p>
      <w:r>
        <w:rPr>
          <w:color w:val="555555"/>
          <w:sz w:val="18"/>
        </w:rPr>
        <w:t xml:space="preserve">Stand: 10.06.2019 (konsolidierte Textfassung, kein amtliches Inkrafttretensdatum)</w:t>
      </w:r>
    </w:p>
    <w:p>
      <w:r>
        <w:t xml:space="preserve">(1) Die Qualifikation zum Industriemeister umfaßt:</w:t>
      </w:r>
    </w:p>
    <w:p>
      <w:pPr>
        <w:ind w:left="420"/>
      </w:pPr>
      <w:r>
        <w:t xml:space="preserve">1. berufs- und arbeitspädagogische Qualifikationen,</w:t>
      </w:r>
    </w:p>
    <w:p>
      <w:pPr>
        <w:ind w:left="420"/>
      </w:pPr>
      <w:r>
        <w:t xml:space="preserve">2. fachrichtungsübergreifende Basisqualifikationen,</w:t>
      </w:r>
    </w:p>
    <w:p>
      <w:pPr>
        <w:ind w:left="420"/>
      </w:pPr>
      <w:r>
        <w:t xml:space="preserve">3. handlungsspezifische Qualifikationen.</w:t>
      </w:r>
    </w:p>
    <w:p>
      <w:r>
        <w:t xml:space="preserve">(2) Der Erwerb der berufs- und arbeitspädagogischen Eignung ist durch eine erfolgreich abgelegte Prüfung nach § 4 der Ausbilder-Eignungsverordnung oder durch eine andere erfolgreich abgelegte vergleichbare Prüfung vor einer öffentlichen oder staatlich anerkannten Bildungseinrichtung oder vor einem staatlichen Prüfungsausschuss nachzuweisen. Der Prüfungsnachweis ist vor Beginn der letzten Prüfungsleistung zu erbringen.</w:t>
      </w:r>
    </w:p>
    <w:p>
      <w:r>
        <w:t xml:space="preserve">(3) Die Prüfung zum Industriemeister gliedert sich in die Prüfungsteile:</w:t>
      </w:r>
    </w:p>
    <w:p>
      <w:pPr>
        <w:ind w:left="420"/>
      </w:pPr>
      <w:r>
        <w:t xml:space="preserve">1. fachrichtungsübergreifende Basisqualifikationen,</w:t>
      </w:r>
    </w:p>
    <w:p>
      <w:pPr>
        <w:ind w:left="420"/>
      </w:pPr>
      <w:r>
        <w:t xml:space="preserve">2. handlungsspezifische Qualifikationen.</w:t>
      </w:r>
    </w:p>
    <w:p>
      <w:r>
        <w:t xml:space="preserve">(4) Im Prüfungsteil nach Absatz 3 Nr. 1 ist schriftlich in Form von anwendungsbezogenen Aufgabenstellungen gemäß § 4 zu prüfen, im Prüfungsteil nach Absatz 3 Nr. 2 ist schriftlich in Form von handlungsspezifischen, integrierten Situationsaufgaben und mündlich in Form eines situationsbezogenen Fachgesprächs gemäß § 5 zu prüfen.</w:t>
      </w:r>
    </w:p>
    <w:p>
      <w:r>
        <w:rPr>
          <w:color w:val="555555"/>
          <w:sz w:val="17"/>
        </w:rPr>
        <w:t xml:space="preserve">Zitiervorschlag: § 2 IndMetMeistV 1997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https://recht.nulegal.eu/gesetze/IndMetMeistV%201997/2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