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IndMetMeistV 1997 — Übergangsvorschrift</w:t>
      </w:r>
    </w:p>
    <w:p>
      <w:r>
        <w:rPr>
          <w:color w:val="555555"/>
          <w:sz w:val="18"/>
        </w:rPr>
        <w:t xml:space="preserve">Verordnung über die Prüfung zum anerkannten Abschluß Geprüfter Industriemeister/Geprüfte Industriemeisterin - Fachrichtung Metall</w:t>
      </w:r>
    </w:p>
    <w:p>
      <w:r>
        <w:rPr>
          <w:color w:val="555555"/>
          <w:sz w:val="18"/>
        </w:rPr>
        <w:t xml:space="preserve">Stand: 25.12.2019 (konsolidierte Textfassung, kein amtliches Inkrafttretensdatum)</w:t>
      </w:r>
    </w:p>
    <w:p>
      <w:r>
        <w:t xml:space="preserve">Die bis zum Ablauf des 31. August 2009 begonnenen Prüfungsverfahren können nach den bisherigen Vorschriften zu Ende geführt werden.</w:t>
      </w:r>
    </w:p>
    <w:p>
      <w:r>
        <w:rPr>
          <w:color w:val="555555"/>
          <w:sz w:val="17"/>
        </w:rPr>
        <w:t xml:space="preserve">Zitiervorschlag: § 11 IndMetMeistV 1997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https://recht.nulegal.eu/gesetze/IndMetMeistV%201997/11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