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IndMetAusbV 2007 — Antrag auf Prüfung der Zusatzqualifikation, Zeitpunkt</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w:t>
      </w:r>
    </w:p>
    <w:p>
      <w:r>
        <w:t xml:space="preserve">(2) Die Prüfung findet im Rahmen von Teil 2 der Abschlussprüfung als gesonderte Prüfung statt.</w:t>
      </w:r>
    </w:p>
    <w:p>
      <w:r>
        <w:rPr>
          <w:color w:val="555555"/>
          <w:sz w:val="17"/>
        </w:rPr>
        <w:t xml:space="preserve">Zitiervorschlag: § 30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