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IndKfmAusbV 2002 — Struktur und Zielsetzung der Berufsausbildung</w:t>
      </w:r>
    </w:p>
    <w:p>
      <w:r>
        <w:rPr>
          <w:color w:val="555555"/>
          <w:sz w:val="18"/>
        </w:rPr>
        <w:t xml:space="preserve">Verordnung über die Berufsausbildung zum Industriekaufmann/zur Industriekauffrau</w:t>
      </w:r>
    </w:p>
    <w:p>
      <w:r>
        <w:rPr>
          <w:color w:val="555555"/>
          <w:sz w:val="18"/>
        </w:rPr>
        <w:t xml:space="preserve">Historische Fassung: Stand 10.06.2019 bis 01.08.2024. Dies ist nicht die aktuelle Fassung.</w:t>
      </w:r>
    </w:p>
    <w:p>
      <w:r>
        <w:t xml:space="preserve">(1) Die in dieser Verordnung genannten Fertigkeiten und Kenntnisse sollen funktions- und prozessbezogen vermittelt werden. Die Berufsbildpositionen nach § 4 Abs. 1 Nr. 1 bis 4 sind während der gesamten Ausbildungszeit arbeitsfeldübergreifend auch unter Berücksichtigung des Nachhaltigkeitsaspektes zu vermitteln. In einem Einsatzgebiet ist die berufliche Handlungskompetenz durch Fertigkeiten und Kenntnisse zu erweitern, die im jeweiligen Geschäftsprozess zur ganzheitlichen Durchführung komplexer Aufgaben befähigen.</w:t>
      </w:r>
    </w:p>
    <w:p>
      <w:r>
        <w:t xml:space="preserve">(2) Die in dieser Verordnung genannten Fertigkeiten und Kenntnisse sollen so vermittelt werden, dass der Auszubildende zur Ausübung einer qualifizierten, an Geschäftsprozessen ausgerichteten kaufmännischen Berufstätigkeit im Sinne des § 1 Abs. 2 des Berufsbildungsgesetzes befähigt wird, die insbesondere selbständiges Planen, Durchführen und Kontrollieren einschließt. Diese Befähigung ist auch in den Prüfungen nach den §§ 8 und 9 nachzuweisen.</w:t>
      </w:r>
    </w:p>
    <w:p>
      <w:r>
        <w:rPr>
          <w:color w:val="555555"/>
          <w:sz w:val="17"/>
        </w:rPr>
        <w:t xml:space="preserve">Zitiervorschlag: § 3 IndKfmAusbV 2002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https://recht.nulegal.eu/gesetze/IndKfmAusbV%202002/3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