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IndKfmAusbV 2002 — Staatliche Anerkennung des Ausbildungsberufes</w:t>
      </w:r>
    </w:p>
    <w:p>
      <w:r>
        <w:rPr>
          <w:color w:val="555555"/>
          <w:sz w:val="18"/>
        </w:rPr>
        <w:t xml:space="preserve">Verordnung über die Berufsausbildung zum Industriekaufmann/zur Industriekauffrau</w:t>
      </w:r>
    </w:p>
    <w:p>
      <w:r>
        <w:rPr>
          <w:color w:val="555555"/>
          <w:sz w:val="18"/>
        </w:rPr>
        <w:t xml:space="preserve">Historische Fassung: Stand 10.06.2019 bis 01.08.2024. Dies ist nicht die aktuelle Fassung.</w:t>
      </w:r>
    </w:p>
    <w:p>
      <w:r>
        <w:t xml:space="preserve">Der Ausbildungsberuf Industriekaufmann/Industriekauffrau wird staatlich anerkannt.</w:t>
      </w:r>
    </w:p>
    <w:p>
      <w:r>
        <w:rPr>
          <w:color w:val="555555"/>
          <w:sz w:val="17"/>
        </w:rPr>
        <w:t xml:space="preserve">Zitiervorschlag: § 1 IndKfmAusbV 2002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https://recht.nulegal.eu/gesetze/IndKfmAusbV%202002/1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