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IndElAusbV 2007 — Ausbildungsrahmenplan</w:t>
      </w:r>
    </w:p>
    <w:p>
      <w:r>
        <w:rPr>
          <w:color w:val="555555"/>
          <w:sz w:val="18"/>
        </w:rPr>
        <w:t xml:space="preserve">Verordnung über die Berufsausbildung in den industriellen Elektroberufen</w:t>
      </w:r>
    </w:p>
    <w:p>
      <w:r>
        <w:rPr>
          <w:color w:val="555555"/>
          <w:sz w:val="18"/>
        </w:rPr>
        <w:t xml:space="preserve">Stand: 10.06.2019 (konsolidierte Textfassung, kein amtliches Inkrafttretensdatum)</w:t>
      </w:r>
    </w:p>
    <w:p>
      <w:r>
        <w:t xml:space="preserve">Die in § 7 Absatz 1 genannten Qualifikationen (Ausbildungsberufsbild) sollen nach der in Anlage 1 und Anlage 2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rPr>
          <w:color w:val="555555"/>
          <w:sz w:val="17"/>
        </w:rPr>
        <w:t xml:space="preserve">Zitiervorschlag: § 8 IndElAusbV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https://recht.nulegal.eu/gesetze/IndElAusbV%202007/8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