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IndElAusbV 2007 — Staatliche Anerkennung der Ausbildungsberufe</w:t>
      </w:r>
    </w:p>
    <w:p>
      <w:r>
        <w:rPr>
          <w:color w:val="555555"/>
          <w:sz w:val="18"/>
        </w:rPr>
        <w:t xml:space="preserve">Verordnung über die Berufsausbildung in den industriellen Elektroberufen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Ausbildungsberufe</w:t>
      </w:r>
    </w:p>
    <w:p>
      <w:pPr>
        <w:ind w:left="420"/>
      </w:pPr>
      <w:r>
        <w:t xml:space="preserve">1. Elektroniker für Gebäude- und Infrastruktursysteme/Elektronikerin für Gebäude- und Infrastruktursysteme,</w:t>
      </w:r>
    </w:p>
    <w:p>
      <w:pPr>
        <w:ind w:left="420"/>
      </w:pPr>
      <w:r>
        <w:t xml:space="preserve">2. Elektroniker für Betriebstechnik/Elektronikerin für Betriebstechnik,</w:t>
      </w:r>
    </w:p>
    <w:p>
      <w:pPr>
        <w:ind w:left="420"/>
      </w:pPr>
      <w:r>
        <w:t xml:space="preserve">3. Elektroniker für Automatisierungstechnik/Elektronikerin für Automatisierungstechnik,</w:t>
      </w:r>
    </w:p>
    <w:p>
      <w:pPr>
        <w:ind w:left="420"/>
      </w:pPr>
      <w:r>
        <w:t xml:space="preserve">4. Elektroniker für Geräte und Systeme/Elektronikerin für Geräte und Systeme,</w:t>
      </w:r>
    </w:p>
    <w:p>
      <w:pPr>
        <w:ind w:left="420"/>
      </w:pPr>
      <w:r>
        <w:t xml:space="preserve">5. Elektroniker für Informations- und Systemtechnik und Elektronikerin für Informations- und Systemtechnik</w:t>
      </w:r>
    </w:p>
    <w:p>
      <w:r>
        <w:t xml:space="preserve">werden gemäß § 4 Absatz 1 des Berufsbildungsgesetzes staatlich anerkannt.</w:t>
      </w:r>
    </w:p>
    <w:p>
      <w:r>
        <w:rPr>
          <w:color w:val="555555"/>
          <w:sz w:val="17"/>
        </w:rPr>
        <w:t xml:space="preserve">Zitiervorschlag: § 1 IndElAusbV 2007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https://recht.nulegal.eu/gesetze/IndElAusbV%202007/1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