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IndBkGDV 1</w:t>
      </w:r>
    </w:p>
    <w:p>
      <w:r>
        <w:rPr>
          <w:color w:val="555555"/>
          <w:sz w:val="18"/>
        </w:rPr>
        <w:t xml:space="preserve">Industriebankgesetz</w:t>
      </w:r>
    </w:p>
    <w:p>
      <w:r>
        <w:rPr>
          <w:color w:val="555555"/>
          <w:sz w:val="18"/>
        </w:rPr>
        <w:t xml:space="preserve">Stand: 10.06.2019 (konsolidierte Textfassung, kein amtliches Inkrafttretensdatum)</w:t>
      </w:r>
    </w:p>
    <w:p>
      <w:r>
        <w:t xml:space="preserve">Die Vorschriften der §§ 4 und 5 gelten entsprechend für die bei der Durchführung der in § 7 Abs. 1 des Industriebankgesetzes genannten Aufgaben erlangten Kenntnisse von Verhältnissen der Kreditnehmer und für die Verpflichtung zur Geheimhaltung dieser Verhältnisse, mit der Maßgabe, daß die Strafverfolgung nur auf Antrag des Vorstandes der Bank für deutsche Industrieobligationen eintritt.</w:t>
      </w:r>
    </w:p>
    <w:p>
      <w:r>
        <w:rPr>
          <w:color w:val="555555"/>
          <w:sz w:val="17"/>
        </w:rPr>
        <w:t xml:space="preserve">Zitiervorschlag: § 6 IndBkGDV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https://recht.nulegal.eu/gesetze/IndBkGDV%201/6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