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IndBkGDV 1</w:t>
      </w:r>
    </w:p>
    <w:p>
      <w:r>
        <w:rPr>
          <w:color w:val="555555"/>
          <w:sz w:val="18"/>
        </w:rPr>
        <w:t xml:space="preserve">Industriebankgesetz</w:t>
      </w:r>
    </w:p>
    <w:p>
      <w:r>
        <w:rPr>
          <w:color w:val="555555"/>
          <w:sz w:val="18"/>
        </w:rPr>
        <w:t xml:space="preserve">Stand: 10.06.2019 (konsolidierte Textfassung, kein amtliches Inkrafttretensdatum)</w:t>
      </w:r>
    </w:p>
    <w:p>
      <w:r>
        <w:t xml:space="preserve">Wer bei der Durchführung des Industriebelastungsgesetzes vom 30. August 1924 (Reichsgesetzbl. II S. 257) oder des Industriebankgesetzes tätig geworden ist oder tätig wird und hierbei Kenntnis von Verhältnissen der auf Grund des Industriebelastungsgesetzes, des Aufbringungsgesetzes vom 30. August 1924 (Reichsgesetzbl. II S. 269) oder des Industriebankgesetzes belasteten Personen erlangt hat, ist zur Geheimhaltung dieser Verhältnisse verpflichtet; er darf Geschäfts- oder Betriebsgeheimnisse, die er dabei erfahren hat, nicht unbefugt verwerten.</w:t>
      </w:r>
    </w:p>
    <w:p>
      <w:r>
        <w:rPr>
          <w:color w:val="555555"/>
          <w:sz w:val="17"/>
        </w:rPr>
        <w:t xml:space="preserve">Zitiervorschlag: § 4 IndBkGDV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https://recht.nulegal.eu/gesetze/IndBkGDV%201/4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