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IndBkGDV 1</w:t>
      </w:r>
    </w:p>
    <w:p>
      <w:r>
        <w:rPr>
          <w:color w:val="555555"/>
          <w:sz w:val="18"/>
        </w:rPr>
        <w:t xml:space="preserve">Industriebankgesetz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Eintragungen und Vermerke über die öffentliche Last des Industriebelastungsgesetzes vom 30. August 1924 (Reichsgesetzbl. II S. 257) können von Amts wegen gelöscht werden.</w:t>
      </w:r>
    </w:p>
    <w:p>
      <w:r>
        <w:t xml:space="preserve">(2) Löschungen, die sich auf die öffentliche Last beziehen, sowie die dazu erforderlichen gerichtlichen Beurkundungen und Beglaubigungen sind von Gebühren und sonstigen Kosten befreit.</w:t>
      </w:r>
    </w:p>
    <w:p>
      <w:r>
        <w:rPr>
          <w:color w:val="555555"/>
          <w:sz w:val="17"/>
        </w:rPr>
        <w:t xml:space="preserve">Zitiervorschlag: § 3 IndBkGDV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https://recht.nulegal.eu/gesetze/IndBkGDV%201/3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