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IndBkGDV 1</w:t>
      </w:r>
    </w:p>
    <w:p>
      <w:r>
        <w:rPr>
          <w:color w:val="555555"/>
          <w:sz w:val="18"/>
        </w:rPr>
        <w:t xml:space="preserve">Industriebankgesetz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Bank für deutsche Industrieobligationen ist im Verkehr mit den Grundbuchämtern und Registerbehörden von allen Gebühren, Stempelabgaben und sonstigen Kosten befreit.</w:t>
      </w:r>
    </w:p>
    <w:p>
      <w:r>
        <w:rPr>
          <w:color w:val="555555"/>
          <w:sz w:val="17"/>
        </w:rPr>
        <w:t xml:space="preserve">Zitiervorschlag: § 2 IndBkGDV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https://recht.nulegal.eu/gesetze/IndBkGDV%201/2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