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InVorG — Bekanntgabe des Investitionsvorrangbescheids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Der Investitionsvorrangbescheid ist den bekannten Anmeldern zuzustellen, und zwar auch dann, wenn sie auf ihre Anhörung verzichtet haben oder von ihrer Anhörung abgesehen worden ist. Das Amt zur Regelung offener Vermögensfragen, in dessen Gebiet das Grundstück oder Gebäude belegen ist oder das Unternehmen seinen Sitz (Hauptniederlassung) hat, erhält eine Abschrift des Investitionsvorrangbescheids und benachrichtigt hierüber die mit der Rückgabe befaßte Stelle. Eine weitere Abschrift ist, außer wenn die Treuhandanstalt verfügt, dem Entschädigungsfonds zu übersenden.</w:t>
      </w:r>
    </w:p>
    <w:p>
      <w:r>
        <w:t xml:space="preserve">(2) Der Investitionsvorrangbescheid gilt nicht bekannten Anmeldern gegenüber als zugestellt, wenn</w:t>
      </w:r>
    </w:p>
    <w:p>
      <w:pPr>
        <w:ind w:left="420"/>
      </w:pPr>
      <w:r>
        <w:t xml:space="preserve">a) der Bescheid auszugsweise unter Angabe der entscheidenden Stelle und ihrer Anschrift, der Rechtsbehelfsbelehrung, des Vorhabenträgers, des bescheinigten Vorhabens und des betroffenen Vermögenswerts im Bundesanzeiger bekannt gemacht worden ist und</w:t>
      </w:r>
    </w:p>
    <w:p>
      <w:pPr>
        <w:ind w:left="420"/>
      </w:pPr>
      <w:r>
        <w:t xml:space="preserve">b) zwei Wochen seit der Bekanntmachung gemäß Buchstabe a verstrichen sind.</w:t>
      </w:r>
    </w:p>
    <w:p>
      <w:r>
        <w:rPr>
          <w:color w:val="555555"/>
          <w:sz w:val="17"/>
        </w:rPr>
        <w:t xml:space="preserve">Zitiervorschlag: § 9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