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InVorG — Besonderer Investitionszweck</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Ein besonderer Investitionszweck liegt bei Grundstücken und Gebäuden vor, wenn sie verwendet werden zur</w:t>
      </w:r>
    </w:p>
    <w:p>
      <w:pPr>
        <w:ind w:left="420"/>
      </w:pPr>
      <w:r>
        <w:t xml:space="preserve">1. Sicherung oder Schaffung von Arbeitsplätzen, insbesondere durch Errichtung oder Erhaltung einer gewerblichen Betriebsstätte oder eines Dienstleistungsunternehmens,</w:t>
      </w:r>
    </w:p>
    <w:p>
      <w:pPr>
        <w:ind w:left="780"/>
      </w:pPr>
      <w:r>
        <w:t xml:space="preserve">a) Schaffung neuen Wohnraums,</w:t>
      </w:r>
    </w:p>
    <w:p>
      <w:pPr>
        <w:ind w:left="780"/>
      </w:pPr>
      <w:r>
        <w:t xml:space="preserve">b) Wiederherstellung abgegangenen oder vom Abgang bedrohten Wohnraums oder</w:t>
      </w:r>
    </w:p>
    <w:p>
      <w:pPr>
        <w:ind w:left="780"/>
      </w:pPr>
      <w:r>
        <w:t xml:space="preserve">c) Durchführung baulicher Maßnahmen, die den Gebrauchswert bestehenden Wohnraums nachhaltig erhöhen, die allgemeinen Wohnverhältnisse auf Dauer verbessern oder nachhaltige Einsparungen von Heizenergie oder Wasser bewirken, einschließlich Instandsetzungen, die mit Modernisierungsmaßnahmen verbunden werden,</w:t>
      </w:r>
    </w:p>
    <w:p>
      <w:pPr>
        <w:ind w:left="420"/>
      </w:pPr>
      <w:r>
        <w:t xml:space="preserve">die Errichtung, Wiederherstellung oder Modernisierung einzelner Ein- und Zweifamilienhäuser in den Fällen der Buchstaben a bis c nur im Rahmen einer städtebaulichen Maßnahme,</w:t>
      </w:r>
    </w:p>
    <w:p>
      <w:pPr>
        <w:ind w:left="420"/>
      </w:pPr>
      <w:r>
        <w:t xml:space="preserve">3. Schaffung der für Investitionen erforderlichen oder hiervon veranlaßten Infrastrukturmaßnahmen.</w:t>
      </w:r>
    </w:p>
    <w:p>
      <w:r>
        <w:t xml:space="preserve">Das Grundstück oder Gebäude darf nur insoweit für den besonderen Investitionszweck verwendet werden, als dies für die Verwirklichung des Vorhabens erforderlich ist.</w:t>
      </w:r>
    </w:p>
    <w:p>
      <w:r>
        <w:t xml:space="preserve">(2) Bei Unternehmen und einem für dieses benötigten Grundstück des Unternehmens liegt ein besonderer Investitionszweck vor, wenn es verwendet wird,</w:t>
      </w:r>
    </w:p>
    <w:p>
      <w:pPr>
        <w:ind w:left="420"/>
      </w:pPr>
      <w:r>
        <w:t xml:space="preserve">1. um Arbeitsplätze zu schaffen oder zu sichern oder die Wettbewerbsfähigkeit verbessernde Investitionen zu ermöglichen oder</w:t>
      </w:r>
    </w:p>
    <w:p>
      <w:pPr>
        <w:ind w:left="420"/>
      </w:pPr>
      <w:r>
        <w:t xml:space="preserve">2. weil der Berechtigte keine Gewähr dafür bietet, daß er das Unternehmen fortführen oder sanieren wird, oder</w:t>
      </w:r>
    </w:p>
    <w:p>
      <w:pPr>
        <w:ind w:left="420"/>
      </w:pPr>
      <w:r>
        <w:t xml:space="preserve">3. um die Liquidation oder Gesamtvollstreckung eines Unternehmens bei nach kaufmännischer Beurteilung sonst auf Dauer nicht zu vermeidender Zahlungsunfähigkeit oder Überschuldung zu verhindern.</w:t>
      </w:r>
    </w:p>
    <w:p>
      <w:r>
        <w:t xml:space="preserve">(3) Die Erteilung eines Investitionsvorrangbescheids für die beantragte investive Maßnahme kann nicht mit der Begründung versagt werden, daß anstelle der Veräußerung des Grundstücks oder Gebäudes die Bestellung eines Erbbaurechts oder die Begründung und Übertragung von Teil- oder Wohnungseigentum möglich wäre. Dies gilt entsprechend für die Möglichkeit der Vermietung oder Verpachtung, es sei denn, daß die Vermietung oder Verpachtung für Vorhaben der in Aussicht genommenen Art üblich ist.</w:t>
      </w:r>
    </w:p>
    <w:p>
      <w:r>
        <w:t xml:space="preserve">(4) Ein Investitionsvorrangbescheid für einen besonderen Investitionszweck nach Absatz 1 Satz 1 Nr. 2 Buchstabe c darf nur erteilt werden, wenn ein Verfahren nach § 21b durchgeführt worden ist, ohne daß eine Rückübertragung erfolgt ist.</w:t>
      </w:r>
    </w:p>
    <w:p>
      <w:r>
        <w:rPr>
          <w:color w:val="555555"/>
          <w:sz w:val="17"/>
        </w:rPr>
        <w:t xml:space="preserve">Zitiervorschlag: § 3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