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InVorG — Überleitungsvorschrift</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Investitionsbescheinigungen nach dem Investitionsgesetz in der Fassung des Gesetzes vom 22. März 1991 (BGBl. I S. 766) und Entscheidungen nach § 3a des Vermögensgesetzes in der vor dem 22. Juli 1992 geltenden Fassung stehen Investitionsvorrangbescheiden gleich. Frühere Investitionsbescheinigungen haben die ihnen danach zukommende Wirkung; sie sind jedoch, auch wenn dies nicht besonders angeordnet war, sofort vollziehbar.</w:t>
      </w:r>
    </w:p>
    <w:p>
      <w:r>
        <w:t xml:space="preserve">(2) Dieses Gesetz ist auch auf Verfahren anzuwenden, die vor dem 22. Juli 1992 begonnen, aber noch nicht verwaltungsintern abgeschlossen sind. Verwaltungsintern ist ein Verfahren abgeschlossen, wenn die letzte Verwaltungsentscheidung erlassen ist. § 4 Abs. 5 des Investitionsvorranggesetzes ist auf den Empfänger der Abtretung eines Rückübertragungsanspruchs nicht anzuwenden, die vor dem 2. April 1992 erklärt und innerhalb von drei Monaten von diesem Zeitpunkt an dem Amt oder Landesamt zur Regelung offener Vermögensfragen, in dessen Bezirk das Grundstück liegt, angezeigt worden ist.</w:t>
      </w:r>
    </w:p>
    <w:p>
      <w:r>
        <w:t xml:space="preserve">(3) § 11 Abs. 5 Satz 1 ist in der vom 24. Juli 1997 an geltenden Fassung nicht auf Vorhaben anzuwenden, denen ein Investitionsvorrangbescheid zugrunde liegt, der vor dem Inkrafttreten dieses Gesetzes bestandskräftig geworden ist.</w:t>
      </w:r>
    </w:p>
    <w:p>
      <w:r>
        <w:t xml:space="preserve">(4) § 15 Abs. 1 ist auch auf vor dem 24. Juli 1997 erlassene Investitionsvorrangbescheide anzuwenden, soweit nicht über den Widerruf eines solchen Bescheids schon bestandskräftig entschieden ist.</w:t>
      </w:r>
    </w:p>
    <w:p>
      <w:r>
        <w:rPr>
          <w:color w:val="555555"/>
          <w:sz w:val="17"/>
        </w:rPr>
        <w:t xml:space="preserve">Zitiervorschlag: § 28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