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InVorG — Sonderregelungen für die Treuhandanstalt</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Die Treuhandanstalt handelt bei Vermögenswerten, die im Eigentum einer Kapitalgesellschaft stehen, deren sämtliche Geschäftsanteile oder Aktien sich unmittelbar oder mittelbar in der Hand der Treuhandanstalt befinden (Treuhandunternehmen), unbeschadet der Rechte deren Vorstands oder Geschäftsführers als gesetzlicher Vertreter. Sie haftet im Verhältnis zu dem Treuhandunternehmen nur, wenn sie ohne dessen Zustimmung verfügt. Sie ist dann für das Verfahren zuständig.</w:t>
      </w:r>
    </w:p>
    <w:p>
      <w:r>
        <w:t xml:space="preserve">(2) Die Treuhandanstalt kann einzelne Verfahren, die Grundstücke, Gebäude und Betriebsteile eines Treuhandunternehmens betreffen, an sich ziehen. Sie teilt dies dem Landkreis oder der kreisfreien Stadt mit, die mit Zugang der Mitteilung für das Verfahren nicht mehr zuständig ist und vorhandene Vorgänge an die Treuhandanstalt abgibt.</w:t>
      </w:r>
    </w:p>
    <w:p>
      <w:r>
        <w:t xml:space="preserve">(3) Die Vorschriften dieses Gesetzes gelten auch für Grundstücke, Gebäude und Unternehmen der Parteien und Massenorganisationen, die Gegenstand von Rückübertragungsansprüchen nach § 20b Abs. 3 des Parteiengesetzes vom 21. Februar 1990 (GBl. I Nr. 9 S. 66), das zuletzt durch Artikel 1 des Gesetzes vom 19. Dezember 2006 (BGBl. I S. 3230) geändert worden ist, sind oder sein können.</w:t>
      </w:r>
    </w:p>
    <w:p>
      <w:r>
        <w:rPr>
          <w:color w:val="555555"/>
          <w:sz w:val="17"/>
        </w:rPr>
        <w:t xml:space="preserve">Zitiervorschlag: § 25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