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InVorG — Zuständigkeitsregelungen, Abgabe</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Mehrere zuständige Stellen können durch einen öffentlich-rechtlichen Vertrag (§ 54 des Verwaltungsverfahrensgesetzes) vereinbaren, daß die nach diesem Gesetz zu treffenden Entscheidungen von einer öffentlichen Stelle getroffen werden. Statt durch einen Vertrag kann die Zuständigkeit auch durch Konzentrationsverfügung, die der Zustimmung der anderen Stelle bedarf, bei einer Stelle vereinigt werden.</w:t>
      </w:r>
    </w:p>
    <w:p>
      <w:r>
        <w:t xml:space="preserve">(2) Hat den Investitionsvorrangbescheid eine kreisangehörige Stadt oder Gemeinde zu erteilen, so kann sie das Verfahren innerhalb von zwei Wochen nach seiner Einleitung an den Landkreis, zu dem sie gehört, abgeben; dieser ist an die Abgabe gebunden.</w:t>
      </w:r>
    </w:p>
    <w:p>
      <w:r>
        <w:t xml:space="preserve">(3) Die Landesregierungen werden ermächtigt, durch Rechtsverordnung für investive Maßnahmen der Gemeinden, Städte, Landkreise und des Landes die Zuständigkeit dieser Stellen abweichend zu regeln. Die Landesregierungen können diese Ermächtigung durch Rechtsverordnung auf eine oberste Landesbehörde übertragen.</w:t>
      </w:r>
    </w:p>
    <w:p>
      <w:r>
        <w:rPr>
          <w:color w:val="555555"/>
          <w:sz w:val="17"/>
        </w:rPr>
        <w:t xml:space="preserve">Zitiervorschlag: § 24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