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InVorG — Vorhaben auf mehreren Grundstücken</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Soll ein zusammenhängendes Vorhaben auf mehreren Grundstücken verwirklicht werden, die Gegenstand von Rückübertragungsansprüchen nach dem Vermögensgesetz sind, so kann der Investitionsvorrangbescheid für alle Ansprüche gemeinsam durch Gesamtverfügung erteilt werden.</w:t>
      </w:r>
    </w:p>
    <w:p>
      <w:r>
        <w:t xml:space="preserve">(2) Die Gesamtverfügung kann von jedem Betroffenen selbständig angefochten werden. In einem verwaltungsgerichtlichen Verfahren sind die Anmelder beizuladen, die dies innerhalb einer Frist von einem Monat von der Veröffentlichung eines entsprechenden Gerichtsbeschlusses an beantragen. Der Beschluß ist im Bundesanzeiger und einer auch außerhalb des in Artikel 3 des Einigungsvertrages erscheinenden überregionalen Tageszeitung zu veröffentlichen. Der Beschluß ist unanfechtbar.</w:t>
      </w:r>
    </w:p>
    <w:p>
      <w:r>
        <w:t xml:space="preserve">(3) Die Anhörung des Anmelders kann dadurch ersetzt werden, daß die Unterlagen über das Vorhaben zur Einsicht ausgelegt werden. Den bekannten Anmeldern ist dies unter Angabe des Ortes der Auslegung mitzuteilen. Die Ausschlußfrist für den Anmelder beginnt in diesem Fall mit dem Zugang dieser Mitteilung.</w:t>
      </w:r>
    </w:p>
    <w:p>
      <w:r>
        <w:t xml:space="preserve">(4) Die fristgerechte Zusage investiver Maßnahmen durch den Anmelder ist im Rahmen seines Vorrechtes nur zu berücksichtigen, wenn die Maßnahmen dem Gesamtvorhaben vergleichbar sind.</w:t>
      </w:r>
    </w:p>
    <w:p>
      <w:r>
        <w:rPr>
          <w:color w:val="555555"/>
          <w:sz w:val="17"/>
        </w:rPr>
        <w:t xml:space="preserve">Zitiervorschlag: § 20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