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InVorG — Öffentliches Bieterverfahren</w:t>
      </w:r>
    </w:p>
    <w:p>
      <w:r>
        <w:rPr>
          <w:color w:val="555555"/>
          <w:sz w:val="18"/>
        </w:rPr>
        <w:t xml:space="preserve">Investitionsvorranggesetz</w:t>
      </w:r>
    </w:p>
    <w:p>
      <w:r>
        <w:rPr>
          <w:color w:val="555555"/>
          <w:sz w:val="18"/>
        </w:rPr>
        <w:t xml:space="preserve">Stand: 10.06.2019 (konsolidierte Textfassung, kein amtliches Inkrafttretensdatum)</w:t>
      </w:r>
    </w:p>
    <w:p>
      <w:r>
        <w:t xml:space="preserve">(1) Ist ein Antrag nach § 21 nicht gestellt, so können öffentlich-rechtliche Gebietskörperschaften und die Treuhandanstalt Vorhabenträger öffentlich zur Unterbreitung von Investitionsangeboten auffordern (öffentliches Bieterverfahren). Die Entscheidung über den Zuschlag hat gegenüber dem Anmelder die Wirkungen eines Investitionsvorrangbescheids. Ist in der Aufforderung eine Frist zur Einreichung von Angeboten gesetzt, so werden spätere Angebote des Anmelders nicht berücksichtigt, es sei denn, daß anderen Vorhabenträgern die Gelegenheit gegeben wird, Angebote nachzureichen.</w:t>
      </w:r>
    </w:p>
    <w:p>
      <w:r>
        <w:t xml:space="preserve">(2) Die Aufforderung muß auch in einer außerhalb des Beitrittsgebiets erscheinenden überregionalen Tageszeitung veröffentlicht werden und folgende Angaben enthalten:</w:t>
      </w:r>
    </w:p>
    <w:p>
      <w:pPr>
        <w:ind w:left="420"/>
      </w:pPr>
      <w:r>
        <w:t xml:space="preserve">1. den Hinweis auf die Anforderungen des § 3,</w:t>
      </w:r>
    </w:p>
    <w:p>
      <w:pPr>
        <w:ind w:left="420"/>
      </w:pPr>
      <w:r>
        <w:t xml:space="preserve">2. die Aufforderung an Anmelder, an dem Verfahren mit Angeboten teilzunehmen,</w:t>
      </w:r>
    </w:p>
    <w:p>
      <w:pPr>
        <w:ind w:left="420"/>
      </w:pPr>
      <w:r>
        <w:t xml:space="preserve">3. den Hinweis, daß Anmelder bei gleichen oder annähernd gleichen Angeboten in der Regel den Vorrang genießen.</w:t>
      </w:r>
    </w:p>
    <w:p>
      <w:r>
        <w:t xml:space="preserve">(3) Der Verfügungsberechtigte hat sich bei dem Amt zur Regelung offener Vermögensfragen, in dessen Bezirk das Grundstück oder Gebäude liegt, darüber zu vergewissern, ob Anmeldungen vorliegen, und den ihm mitgeteilten oder sonst bekannten Anmeldern eine Abschrift der Aufforderung zu übersenden.</w:t>
      </w:r>
    </w:p>
    <w:p>
      <w:r>
        <w:t xml:space="preserve">(4) Eine besondere Anhörung des Anmelders entfällt. Der Zuschlag ist dem Anmelder, der seine Berechtigung glaubhaft gemacht hat, in der Regel auch dann zu erteilen, wenn sein Angebot dem des besten anderen Bieters gleich oder annähernd gleich ist. Soll ein anderes Angebot den Zuschlag erhalten, ist dies dem Anmelder unter Übersendung des Vorhabenplans mitzuteilen; der Anmelder kann dann innerhalb von zwei Wochen seinen Plan nachbessern. Der Zuschlag darf vorher nicht erteilt werden.</w:t>
      </w:r>
    </w:p>
    <w:p>
      <w:r>
        <w:t xml:space="preserve">(5) Angebote dürfen nur berücksichtigt werden, wenn sie einen Vorhabenplan umfassen.</w:t>
      </w:r>
    </w:p>
    <w:p>
      <w:r>
        <w:t xml:space="preserve">(6) Die Durchführung des Verfahrens kann einem Dritten übertragen werden. Der Zuschlag muß in diesem Fall von dem Verfügungsberechtigten bestätigt werden. Widerspruch und Klage sind gegen den Verfügungsberechtigten zu richten.</w:t>
      </w:r>
    </w:p>
    <w:p>
      <w:r>
        <w:rPr>
          <w:color w:val="555555"/>
          <w:sz w:val="17"/>
        </w:rPr>
        <w:t xml:space="preserve">Zitiervorschlag: § 19 InVorG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https://recht.nulegal.eu/gesetze/InVorG/19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