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InVorG — Vorhaben in Vorhaben- und Erschließungsplänen</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 3 Abs. 3 bis 5 des Vermögensgesetzes ist ferner für Vorhaben nicht anzuwenden, die Gegenstand eines Vorhaben- und Erschließungsplans sind, der Bestandteil einer beschlossenen, nicht notwendig auch genehmigten Satzung nach § 246a Abs. 1 Satz 1 Nr. 6 des Baugesetzbuchs in Verbindung mit § 55 der Bauplanungs- und Zulassungsverordnung geworden ist. Ein Vorgehen nach den Abschnitten 1 bis 5 bleibt unberührt.</w:t>
      </w:r>
    </w:p>
    <w:p>
      <w:r>
        <w:t xml:space="preserve">(2) Anmelder sind nur nach Maßgabe von § 246a Abs. 1 Satz 1 Nr. 6 des Baugesetzbuchs in Verbindung mit § 55 Abs. 3 der Bauplanungs- und Zulassungsverordnung zu beteiligen. Sie können Einwände gegen das Vorhaben nur mit Rechtsbehelfen gegen die Satzung geltend machen. Das Amt zur Regelung offener Vermögensfragen, in dessen Bezirk das Gebiet liegt, ist von der Einleitung des Verfahrens nach § 246a Abs. 1 Satz 1 Nr. 6 des Baugesetzbuchs in Verbindung mit § 55 der Bauplanungs- und Zulassungsverordnung zu benachrichtigen. Es unterrichtet hierüber umgehend alle ihm bekannten Anmelder von Ansprüchen für die in dem Gebiet liegenden Grundstücke.</w:t>
      </w:r>
    </w:p>
    <w:p>
      <w:r>
        <w:t xml:space="preserve">(3) Das Rückübertragungsverfahren nach dem Vermögensgesetz ist bis zum Beschluß über die Satzung weiterzuführen. Nach diesem Beschluß ist es bis zum Ablauf der zur Durchführung des Vorhabens bestimmten Frist auszusetzen, sofern die Satzung nicht vorher aufgehoben oder nicht genehmigt wird.</w:t>
      </w:r>
    </w:p>
    <w:p>
      <w:r>
        <w:t xml:space="preserve">(4) Die Satzung ersetzt die Grundstücksverkehrsgenehmigung nach der Grundstücksverkehrsordnung und andere Zustimmungen oder Genehmigungen, die für die Verfügung über eigenes Vermögen des Bundes, der Länder oder der Kommunen erforderlich sind.</w:t>
      </w:r>
    </w:p>
    <w:p>
      <w:r>
        <w:t xml:space="preserve">(5) Die §§ 11, 16 und 17 gelten entsprechend.</w:t>
      </w:r>
    </w:p>
    <w:p>
      <w:r>
        <w:t xml:space="preserve">(6) § 12 gilt mit der Maßgabe entsprechend, daß an die Stelle eines Antrags auf Anordnung der aufschiebenden Wirkung ein Antrag auf Erlaß einer einstweiligen Anordnung gegen die beschlossene Satzung tritt.</w:t>
      </w:r>
    </w:p>
    <w:p>
      <w:r>
        <w:t xml:space="preserve">(7) In einem verwaltungsgerichtlichen Verfahren sind die Anmelder beizuladen, die dies innerhalb einer Frist von einem Monat von der Veröffentlichung eines entsprechenden Gerichtsbeschlusses an beantragen. Der Beschluß ist im Bundesanzeiger und einer auch außerhalb des in Artikel 3 des Einigungsvertrages genannten Gebietes erscheinenden überregionalen Tageszeitung zu veröffentlichen. Der Beschluß ist unanfechtbar.</w:t>
      </w:r>
    </w:p>
    <w:p>
      <w:r>
        <w:rPr>
          <w:color w:val="555555"/>
          <w:sz w:val="17"/>
        </w:rPr>
        <w:t xml:space="preserve">Zitiervorschlag: § 18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