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InVorG — Wahlrecht des Berechtigten, Auskunftsanspruch</w:t>
      </w:r>
    </w:p>
    <w:p>
      <w:r>
        <w:rPr>
          <w:color w:val="555555"/>
          <w:sz w:val="18"/>
        </w:rPr>
        <w:t xml:space="preserve">Investitionsvorranggesetz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dem Berechtigten nach anderen Vorschriften eine Entschädigung zusteht, kann er diese wahlweise anstelle der in § 16 bezeichneten Rechte in Anspruch nehmen.</w:t>
      </w:r>
    </w:p>
    <w:p>
      <w:r>
        <w:t xml:space="preserve">(2) Der Anmelder kann von dem Verfügungsberechtigten Auskünfte über alle Tatsachen verlangen, die für die Wahrnehmung seiner Rechte nach diesem Gesetz erforderlich sind.</w:t>
      </w:r>
    </w:p>
    <w:p>
      <w:r>
        <w:rPr>
          <w:color w:val="555555"/>
          <w:sz w:val="17"/>
        </w:rPr>
        <w:t xml:space="preserve">Zitiervorschlag: § 17 InVorG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https://recht.nulegal.eu/gesetze/InVorG/17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