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InVorG — Grundsatz</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Die investiven Maßnahmen sind fristgemäß durchzuführen. Bei Unternehmen und den für diese benötigten Grundstücken genügt es, wenn die für die ersten beiden Jahre zugesagten Maßnahmen durchgeführt werden. Die investiven Maßnahmen gelten als durchgeführt, wenn sie im wesentlichen fertiggestellt sind, die Rückübertragungspflicht entfallen oder ein Widerruf gemäß § 15 Abs. 1 ausgeschlossen ist.</w:t>
      </w:r>
    </w:p>
    <w:p>
      <w:r>
        <w:t xml:space="preserve">(2) Auf Antrag des Vorhabenträgers oder des Verfügungsberechtigten stellt die zuständige Stelle nach Anhörung der Beteiligten fest, daß der Vorhabenträger die zugesagten Maßnahmen vorgenommen oder das Vorhaben durchgeführt hat. Wird diese Feststellung unanfechtbar, kann der Investitionsvorrangbescheid nicht widerrufen und Rückübertragung nicht wegen Nichtdurchführung der zugesagten Maßnahmen verlangt werden.</w:t>
      </w:r>
    </w:p>
    <w:p>
      <w:r>
        <w:rPr>
          <w:color w:val="555555"/>
          <w:sz w:val="17"/>
        </w:rPr>
        <w:t xml:space="preserve">Zitiervorschlag: § 13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