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InVorG — Rechtsschutz und Sicherung von Investitionen</w:t>
      </w:r>
    </w:p>
    <w:p>
      <w:r>
        <w:rPr>
          <w:color w:val="555555"/>
          <w:sz w:val="18"/>
        </w:rPr>
        <w:t xml:space="preserve">Investitionsvorranggesetz</w:t>
      </w:r>
    </w:p>
    <w:p>
      <w:r>
        <w:rPr>
          <w:color w:val="555555"/>
          <w:sz w:val="18"/>
        </w:rPr>
        <w:t xml:space="preserve">Stand: 10.06.2019 (konsolidierte Textfassung, kein amtliches Inkrafttretensdatum)</w:t>
      </w:r>
    </w:p>
    <w:p>
      <w:r>
        <w:t xml:space="preserve">(1) Gegen den Investitionsvorrangbescheid ist, wenn die nächsthöhere Behörde nicht eine oberste Landes- oder Bundesbehörde ist, der Widerspruch und ansonsten die Anfechtungsklage zulässig; sie haben keine aufschiebende Wirkung.</w:t>
      </w:r>
    </w:p>
    <w:p>
      <w:r>
        <w:t xml:space="preserve">(2) Anträge auf Anordnung der aufschiebenden Wirkung können nur innerhalb von zwei Wochen ab Bekanntgabe des Investitionsvorrangbescheids gestellt werden. Neue Tatsachen können nur bis zu dem Zeitpunkt vorgebracht und berücksichtigt werden, in dem der Vorhabenträger nachhaltig mit dem Vorhaben begonnen hat; neue investive Vorhaben können nicht geltend gemacht werden. Darauf ist der Anmelder in dem Investitionsvorrangbescheid hinzuweisen.</w:t>
      </w:r>
    </w:p>
    <w:p>
      <w:r>
        <w:t xml:space="preserve">(3) Bei Aufhebung eines Investitionsvorrangbescheids ist der Vermögenswert zurückzuübertragen. Bei Unternehmen bestimmen sich die Einzelheiten nach dem Vertrag, bei Grundstücken und Gebäuden zusätzlich nach § 7 der Grundstücksverkehrsordnung. Die Regelungen über den Widerruf des Investitionsvorrangbescheids bleiben unberührt. Ansprüche auf Rückübertragung und Wertersatz bestehen nicht, wenn</w:t>
      </w:r>
    </w:p>
    <w:p>
      <w:pPr>
        <w:ind w:left="780"/>
      </w:pPr>
      <w:r>
        <w:t xml:space="preserve">a) der Anmelder nicht innerhalb von zwei Wochen ab Bekanntgabe des Investitionsvorrangbescheids einen Antrag auf Anordnung der aufschiebenden Wirkung eines Widerspruchs oder einer Klage gestellt hat oder</w:t>
      </w:r>
    </w:p>
    <w:p>
      <w:pPr>
        <w:ind w:left="780"/>
      </w:pPr>
      <w:r>
        <w:t xml:space="preserve">b) ein innerhalb der in Buchstabe a genannten Frist gestellter Antrag rechtskräftig abgelehnt wird und</w:t>
      </w:r>
    </w:p>
    <w:p>
      <w:pPr>
        <w:ind w:left="420"/>
      </w:pPr>
      <w:r>
        <w:t xml:space="preserve">2. mit der tatsächlichen Durchführung der zugesagten Investition nachhaltig begonnen worden ist.</w:t>
      </w:r>
    </w:p>
    <w:p>
      <w:r>
        <w:rPr>
          <w:color w:val="555555"/>
          <w:sz w:val="17"/>
        </w:rPr>
        <w:t xml:space="preserve">Zitiervorschlag: § 12 InVorG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https://recht.nulegal.eu/gesetze/InVorG/12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