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InVeKoSV 2015 — Begriff der landwirtschaftlichen Parzelle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Landwirtschaftliche Parzelle ist ein Schlag.</w:t>
      </w:r>
    </w:p>
    <w:p>
      <w:r>
        <w:t xml:space="preserve">(2) Abweichend von Absatz 1 bilden Schläge,</w:t>
      </w:r>
    </w:p>
    <w:p>
      <w:pPr>
        <w:ind w:left="420"/>
      </w:pPr>
      <w:r>
        <w:t xml:space="preserve">1. die aus im Umweltinteresse genutzten Ackerflächen im Sinne des § 28 oder des § 29 der Direktzahlungen-Durchführungsverordnung bestehen, zusammen mit einem angrenzenden Ackerschlag desselben Betriebsinhabers,</w:t>
      </w:r>
    </w:p>
    <w:p>
      <w:pPr>
        <w:ind w:left="420"/>
      </w:pPr>
      <w:r>
        <w:t xml:space="preserve">2. die aus im Umweltinteresse genutzten Dauergrünlandflächen im Sinne des § 28 der Direktzahlungen-Durchführungsverordnung bestehen, zusammen mit einem angrenzenden Ackerschlag desselben Betriebsinhabers</w:t>
      </w:r>
    </w:p>
    <w:p>
      <w:r>
        <w:t xml:space="preserve">eine landwirtschaftliche Parzelle.</w:t>
      </w:r>
    </w:p>
    <w:p>
      <w:r>
        <w:t xml:space="preserve">(3) Abweichend von Absatz 1 können die Landesregierungen nach § 6 Absatz 1 Nummer 2 in Verbindung mit Absatz 5 Satz 1 des Marktorganisationsgesetzes durch Rechtsverordnung bestimmen, dass zusammenhängende</w:t>
      </w:r>
    </w:p>
    <w:p>
      <w:pPr>
        <w:ind w:left="420"/>
      </w:pPr>
      <w:r>
        <w:t xml:space="preserve">1. landwirtschaftliche Flächen,</w:t>
      </w:r>
    </w:p>
    <w:p>
      <w:pPr>
        <w:ind w:left="420"/>
      </w:pPr>
      <w:r>
        <w:t xml:space="preserve">2. nichtlandwirtschaftliche Flächen, auf die Artikel 32 Absatz 2 Buchstabe b der Verordnung (EU) Nr. 1307/2013 anzuwenden ist,</w:t>
      </w:r>
    </w:p>
    <w:p>
      <w:r>
        <w:t xml:space="preserve">mit unterschiedlichen Nutzungscodes, die zu einer Kulturgruppe gehören und deren Nutzungen innerhalb der Kulturgruppe nicht getrennt angegeben werden müssen, als eine landwirtschaftliche Parzelle gelten.</w:t>
      </w:r>
    </w:p>
    <w:p>
      <w:r>
        <w:rPr>
          <w:color w:val="555555"/>
          <w:sz w:val="17"/>
        </w:rPr>
        <w:t xml:space="preserve">Zitiervorschlag: § 4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