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InVeKoSV 2015 — Zuständige Verwaltungsbehörde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Marktorganisationsgesetzes und des § 36 Absatz 1 Nummer 1 des Gesetzes über Ordnungswidrigkeiten ist bei Stützungsregelungen nach</w:t>
      </w:r>
    </w:p>
    <w:p>
      <w:pPr>
        <w:ind w:left="420"/>
      </w:pPr>
      <w:r>
        <w:t xml:space="preserve">1. § 1 Absatz 1 Nummer 2,</w:t>
      </w:r>
    </w:p>
    <w:p>
      <w:pPr>
        <w:ind w:left="420"/>
      </w:pPr>
      <w:r>
        <w:t xml:space="preserve">2. § 1 Absatz 1 Nummer 3,</w:t>
      </w:r>
    </w:p>
    <w:p>
      <w:r>
        <w:t xml:space="preserve">soweit im Rahmen dieser Verordnung die in § 1 Absatz 1 Nummer 1 bis 6 genannten Rechtsakte, das Marktorganisationsgesetz und diese Verordnung von den Ländern durchgeführt werden, vorbehaltlich einer Regelung nach § 38 Absatz 3 Satz 4 des Marktorganisationsgesetzes die zuständige oberste Landesbehörde.</w:t>
      </w:r>
    </w:p>
    <w:p>
      <w:r>
        <w:rPr>
          <w:color w:val="555555"/>
          <w:sz w:val="17"/>
        </w:rPr>
        <w:t xml:space="preserve">Zitiervorschlag: § 34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