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InVeKoSV 2015 — Referenzflächensysteme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Landesregierungen bestimmen durch Rechtsverordnung nach § 6 Absatz 1 Nummer 2 in Verbindung mit Absatz 5 Satz 1 des Marktorganisationsgesetzes, auf welche der nachfolgend genannten Referenzparzellen sich das nach dem in § 1 Absatz 1 Nummer 1 genannten Rechtsakt zu errichtende System zur Identifizierung landwirtschaftlicher Parzellen stützt:</w:t>
      </w:r>
    </w:p>
    <w:p>
      <w:pPr>
        <w:ind w:left="420"/>
      </w:pPr>
      <w:r>
        <w:t xml:space="preserve">1. Feldblock: eine von dauerhaften Grenzen umgebene zusammenhängende landwirtschaftliche Fläche eines oder mehrerer Betriebsinhaber,</w:t>
      </w:r>
    </w:p>
    <w:p>
      <w:pPr>
        <w:ind w:left="420"/>
      </w:pPr>
      <w:r>
        <w:t xml:space="preserve">2. Schlag: eine zusammenhängende landwirtschaftliche Fläche, die von einem Betriebsinhaber mit einem von der Landesstelle vor der Antragstellung für die Zwecke der Antragsbearbeitung festgelegten Nutzungscode im Sammelantrag angegeben wird,</w:t>
      </w:r>
    </w:p>
    <w:p>
      <w:pPr>
        <w:ind w:left="420"/>
      </w:pPr>
      <w:r>
        <w:t xml:space="preserve">3. Feldstück: eine zusammenhängende landwirtschaftliche Fläche eines Betriebsinhabers,</w:t>
      </w:r>
    </w:p>
    <w:p>
      <w:pPr>
        <w:ind w:left="420"/>
      </w:pPr>
      <w:r>
        <w:t xml:space="preserve">4. Flurstück: eine im Kataster abgegrenzte Fläche.</w:t>
      </w:r>
    </w:p>
    <w:p>
      <w:r>
        <w:t xml:space="preserve">Ackerland, Dauergrünland und Dauerkulturflächen sind geografisch getrennt zu erfassen durch Bildung gesonderter Polygone innerhalb der bestehenden Referenzparzellen oder durch Bildung gesonderter Referenzparzellen.</w:t>
      </w:r>
    </w:p>
    <w:p>
      <w:r>
        <w:t xml:space="preserve">(2) Zu den Referenzparzellen nach Absatz 1 Satz 1 Nummer 1 bis 4 gehören auch die in Artikel 32 Absatz 2 Buchstabe b der Verordnung (EU) Nr. 1307/2013 bezeichneten Flächen, soweit sie nicht bereits nach Absatz 1 erfasst werden. Diese Flächen sind getrennt geografisch zu erfassen durch Bildung gesonderter Referenzparzellen oder durch Polygone innerhalb bestehender Referenzparzellen.</w:t>
      </w:r>
    </w:p>
    <w:p>
      <w:r>
        <w:t xml:space="preserve">(3) Unbeschadet des Artikels 5 Absatz 1 Unterabsatz 1 der Delegierten Verordnung (EU) Nr. 640/2014 der Kommission vom 11. März 2014 zur Ergänzung der Verordnung (EU) Nr. 1306/2013 des Europäischen Parlaments und des Rates in Bezug auf das integrierte Verwaltungs- und Kontrollsystem und die Bedingungen für die Ablehnung oder Rücknahme von Zahlungen sowie für Verwaltungssanktionen im Rahmen von Direktzahlungen, Entwicklungsmaßnahmen für den ländlichen Raum und der Cross-Compliance (ABl. L 181 vom 20.6.2014, S. 48) in der jeweils geltenden Fassung gehören zu den Referenzflächen auch die Landschaftselemente nach § 19. Zur Durchführung des Flächendatenabgleichs ist der in der Anlage bezeichnete Flächenidentifikator zu verwenden.</w:t>
      </w:r>
    </w:p>
    <w:p>
      <w:r>
        <w:rPr>
          <w:color w:val="555555"/>
          <w:sz w:val="17"/>
        </w:rPr>
        <w:t xml:space="preserve">Zitiervorschlag: § 3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