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InVeKoSV 2015 — Antrag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Zahlungen im Sinne des § 1 Absatz 1 Nummer 3 Buchstabe a werden anerkannten Erzeugerorganisationen im Hopfensektor auf Antrag gewährt.</w:t>
      </w:r>
    </w:p>
    <w:p>
      <w:r>
        <w:t xml:space="preserve">(2) Der Antrag ist schriftlich bis zu dem 30. September eines Jahres für das jeweilige Erntejahr zu stellen.</w:t>
      </w:r>
    </w:p>
    <w:p>
      <w:r>
        <w:rPr>
          <w:color w:val="555555"/>
          <w:sz w:val="17"/>
        </w:rPr>
        <w:t xml:space="preserve">Zitiervorschlag: § 26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