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InVeKoSV 2015 — Übertragung von Zahlungsansprüchen</w:t>
      </w:r>
    </w:p>
    <w:p>
      <w:r>
        <w:rPr>
          <w:color w:val="555555"/>
          <w:sz w:val="18"/>
        </w:rPr>
        <w:t xml:space="preserve">InVeKoS-Verordnung</w:t>
      </w:r>
    </w:p>
    <w:p>
      <w:r>
        <w:rPr>
          <w:color w:val="555555"/>
          <w:sz w:val="18"/>
        </w:rPr>
        <w:t xml:space="preserve">Stand: 10.06.2019 (konsolidierte Textfassung, kein amtliches Inkrafttretensdatum)</w:t>
      </w:r>
    </w:p>
    <w:p>
      <w:r>
        <w:t xml:space="preserve">(1) Die Übertragung von Zahlungsansprüchen haben der Übertragende sowie der Übernehmer der Landesstelle innerhalb eines Monats nach der Übertragung nach Maßgabe des Absatzes 4 zu melden. Wird die Übertragung eines Zahlungsanspruchs erst nach dem in § 7 Absatz 1 in Verbindung mit den Artikeln 12 und 13 der Delegierten Verordnung (EU) Nr. 640/2014 vorgesehenen Schlusstermin für die Einreichung des Sammelantrags eines Kalenderjahres gemeldet, so berücksichtigt die Landesstelle diesen Zahlungsanspruch bei der Entscheidung über den Antrag in Bezug auf die Stützungsregelungen im Sinne des § 1 Absatz 1 Nummer 2 für dieses Jahr nicht.</w:t>
      </w:r>
    </w:p>
    <w:p>
      <w:r>
        <w:t xml:space="preserve">(2) Wer einen Zahlungsanspruch übernehmen will, ist, soweit er noch nicht über eine Betriebsnummer im Sinne des § 17 verfügt, verpflichtet, sich vor der Übertragung als Betriebsinhaber bei der Landesstelle registrieren zu lassen.</w:t>
      </w:r>
    </w:p>
    <w:p>
      <w:r>
        <w:t xml:space="preserve">(3) Für die Überprüfung, ob der Übernehmer nach Maßgabe des Artikels 9 Absatz 1 der Verordnung (EU) Nr. 1307/2013 zum Bezug von Direktzahlungen berechtigt ist, wird der Sammelantrag des Übernehmers für das Jahr der Übernahme zugrunde gelegt. Soweit der Übernehmer für das betreffende Jahr keinen Sammelantrag gestellt hat oder stellt, hat er innerhalb eines Monats nach der Übertragung Angaben zu Artikel 9 Absatz 1 der Verordnung (EU) Nr. 1307/2013 schriftlich mitzuteilen.</w:t>
      </w:r>
    </w:p>
    <w:p>
      <w:r>
        <w:t xml:space="preserve">(3a) (weggefallen)</w:t>
      </w:r>
    </w:p>
    <w:p>
      <w:r>
        <w:t xml:space="preserve">(4) Die Meldung nach Absatz 1 muss folgende Angaben enthalten:</w:t>
      </w:r>
    </w:p>
    <w:p>
      <w:pPr>
        <w:ind w:left="420"/>
      </w:pPr>
      <w:r>
        <w:t xml:space="preserve">1. Anzahl und Identifizierungsmerkmale der übertragenen Zahlungsansprüche,</w:t>
      </w:r>
    </w:p>
    <w:p>
      <w:pPr>
        <w:ind w:left="420"/>
      </w:pPr>
      <w:r>
        <w:t xml:space="preserve">2. Name und Anschrift von Übertragendem und Übernehmer,</w:t>
      </w:r>
    </w:p>
    <w:p>
      <w:pPr>
        <w:ind w:left="420"/>
      </w:pPr>
      <w:r>
        <w:t xml:space="preserve">3. Betriebsnummer von Übertragendem und Übernehmer,</w:t>
      </w:r>
    </w:p>
    <w:p>
      <w:pPr>
        <w:ind w:left="420"/>
      </w:pPr>
      <w:r>
        <w:t xml:space="preserve">4. Zeitpunkt der Übertragung,</w:t>
      </w:r>
    </w:p>
    <w:p>
      <w:pPr>
        <w:ind w:left="420"/>
      </w:pPr>
      <w:r>
        <w:t xml:space="preserve">5. Art des der Übertragung zugrunde liegenden Rechtsverhältnisses sowie</w:t>
      </w:r>
    </w:p>
    <w:p>
      <w:pPr>
        <w:ind w:left="420"/>
      </w:pPr>
      <w:r>
        <w:t xml:space="preserve">6. bei befristeter Übertragung den Beginn und das Ende der Übertragung.</w:t>
      </w:r>
    </w:p>
    <w:p>
      <w:r>
        <w:t xml:space="preserve">(5) Die auf Grund einer Meldung nach Absatz 1 erfolgte Registrierung der Übertragung der Zahlungsansprüche in einem Register im Sinne des Artikels 7 der Delegierten Verordnung (EU) Nr. 640/2014 ist keine Entscheidung der Landesstelle über die Wirksamkeit der Übertragung nach der Verordnung (EU) Nr. 1307/2013.</w:t>
      </w:r>
    </w:p>
    <w:p>
      <w:r>
        <w:rPr>
          <w:color w:val="555555"/>
          <w:sz w:val="17"/>
        </w:rPr>
        <w:t xml:space="preserve">Zitiervorschlag: § 23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