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InVeKoSV 2015 — Mindestgröße einer landwirtschaftlichen Parzelle</w:t>
      </w:r>
    </w:p>
    <w:p>
      <w:r>
        <w:rPr>
          <w:color w:val="555555"/>
          <w:sz w:val="18"/>
        </w:rPr>
        <w:t xml:space="preserve">InVeKoS-Verordnung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Mindestgröße einer landwirtschaftlichen Parzelle im Sinne des Artikels 72 Absatz 1 Unterabsatz 2 der Verordnung (EU) Nr. 1306/2013, für die ein Antrag gestellt werden kann, beträgt 0,3 Hektar.</w:t>
      </w:r>
    </w:p>
    <w:p>
      <w:r>
        <w:t xml:space="preserve">(2) Abweichend von Absatz 1 können die Landesregierungen durch Rechtsverordnung nach § 6 Absatz 1 Nummer 2 in Verbindung mit Absatz 5 Satz 1 des Marktorganisationsgesetzes eine kleinere Mindestgröße festlegen, soweit dies erforderlich ist, um besonderen regionalen Gegebenheiten Rechnung zu tragen.</w:t>
      </w:r>
    </w:p>
    <w:p>
      <w:r>
        <w:rPr>
          <w:color w:val="555555"/>
          <w:sz w:val="17"/>
        </w:rPr>
        <w:t xml:space="preserve">Zitiervorschlag: § 18 InVeKoSV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https://recht.nulegal.eu/gesetze/InVeKoSV%202015/18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