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InVeKoSV 2015 — Betriebsnummer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Landesstelle teilt jedem Betriebsinhaber zu Zwecken der Identifizierung eine Nummer für alle in § 1 Absatz 1 Nummer 1 bis Nummer 3 Buchstabe a und b genannten Regelungen zu (Betriebsnummer). Satz 1 ist entsprechend auf jede natürliche Person im Sinne des § 15 Absatz 2 Nummer 1 anzuwenden.</w:t>
      </w:r>
    </w:p>
    <w:p>
      <w:r>
        <w:t xml:space="preserve">(2) Die Landesstelle teilt auf Antrag jedem Mitglied einer Erzeugerorganisation im Sektor Obst und Gemüse zum Zwecke der Identifizierung eine Betriebsnummer für die in § 1 Absatz 1 Nummer 3 Buchstabe c genannte Stützungsregelung zu, sofern das Mitglied Erzeuger ist und nicht bereits über eine Betriebsnummer verfügt.</w:t>
      </w:r>
    </w:p>
    <w:p>
      <w:r>
        <w:rPr>
          <w:color w:val="555555"/>
          <w:sz w:val="17"/>
        </w:rPr>
        <w:t xml:space="preserve">Zitiervorschlag: § 17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