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InVeKoSV 2015 — Angaben hinsichtlich der Einhaltung grundlegender Anforderungen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zur Einhaltung grundlegender Anforderungen verpflichtete Betriebsinhaber hat im Sammelantrag Folgendes anzugeben:</w:t>
      </w:r>
    </w:p>
    <w:p>
      <w:pPr>
        <w:ind w:left="420"/>
      </w:pPr>
      <w:r>
        <w:t xml:space="preserve">1. die Arten der gehaltenen landwirtschaftlichen Nutztiere und die voraussichtliche durchschnittliche Anzahl der jeweiligen Nutztiere jeder Art im Antragsjahr,</w:t>
      </w:r>
    </w:p>
    <w:p>
      <w:pPr>
        <w:ind w:left="420"/>
      </w:pPr>
      <w:r>
        <w:t xml:space="preserve">2. für jede einzelne landwirtschaftliche Parzelle, ob Landschaftselemente im Sinne des § 8 Absatz 1 und 4 der Agrarzahlungen-Verpflichtungenverordnung Bestandteil dieser Parzelle sind, soweit die Landschaftselemente nicht bereits in den dem Betriebsinhaber von der zuständigen Landesstelle vorgelegten Antragsunterlagen erfasst worden sind,</w:t>
      </w:r>
    </w:p>
    <w:p>
      <w:pPr>
        <w:ind w:left="420"/>
      </w:pPr>
      <w:r>
        <w:t xml:space="preserve">3. die Tatsache, ob Wirtschaftsdünger oder sonstige organische oder organisch-mineralische Düngemittel aufgenommen worden sind,</w:t>
      </w:r>
    </w:p>
    <w:p>
      <w:pPr>
        <w:ind w:left="420"/>
      </w:pPr>
      <w:r>
        <w:t xml:space="preserve">4. die Tatsache, dass innerhalb von drei Kalenderjahren vor der Antragstellung Prämienzahlungen für die Umstrukturierung und Umstellung von Rebflächen nach der Verordnung (EU) Nr. 1308/2013 gewährt worden sind,</w:t>
      </w:r>
    </w:p>
    <w:p>
      <w:pPr>
        <w:ind w:left="420"/>
      </w:pPr>
      <w:r>
        <w:t xml:space="preserve">5. die Tatsache der Beregnung oder sonstigen Bewässerung landwirtschaftlicher Flächen, auch soweit diese voraussichtlich im weiteren Verlauf des Kalenderjahres stattfinden wird,</w:t>
      </w:r>
    </w:p>
    <w:p>
      <w:pPr>
        <w:ind w:left="420"/>
      </w:pPr>
      <w:r>
        <w:t xml:space="preserve">6. die Tatsache, ob Hoftankstellen oder Lagerstätten für Pflanzenschutzmittel auf dem Betrieb vorhanden sind,</w:t>
      </w:r>
    </w:p>
    <w:p>
      <w:pPr>
        <w:ind w:left="420"/>
      </w:pPr>
      <w:r>
        <w:t xml:space="preserve">7. die Tatsache, ob</w:t>
      </w:r>
    </w:p>
    <w:p>
      <w:pPr>
        <w:ind w:left="780"/>
      </w:pPr>
      <w:r>
        <w:t xml:space="preserve">a) organische Düngemittel oder Bodenverbesserungsmittel aus Materialien tierischen Ursprungs oder</w:t>
      </w:r>
    </w:p>
    <w:p>
      <w:pPr>
        <w:ind w:left="780"/>
      </w:pPr>
      <w:r>
        <w:t xml:space="preserve">b) organische Düngemittel oder Bodenverbesserungsmittel, die Materialien tierischen Ursprungs enthalten, außer Gülle, Jauche oder Stallmist,</w:t>
      </w:r>
    </w:p>
    <w:p>
      <w:pPr>
        <w:ind w:left="420"/>
      </w:pPr>
      <w:r>
        <w:t xml:space="preserve">bezogen oder verwendet werden.</w:t>
      </w:r>
    </w:p>
    <w:p>
      <w:r>
        <w:t xml:space="preserve">(2) Die Landesregierungen können durch Rechtsverordnung nach § 9a Satz 1 und 2 in Verbindung mit § 6 Absatz 5 Satz 1 des Marktorganisationsgesetzes festlegen, dass der Betriebsinhaber zusätzlich zu den Angaben nach Absatz 1 im Sammelantrag weitere Angaben zu machen hat, soweit dies auf Grund der besonderen Gegebenheiten des jeweiligen Landes bei den grundlegenden Anforderungen erforderlich ist, um die Kontrolle ihrer Einhaltung durchzuführen.</w:t>
      </w:r>
    </w:p>
    <w:p>
      <w:r>
        <w:rPr>
          <w:color w:val="555555"/>
          <w:sz w:val="17"/>
        </w:rPr>
        <w:t xml:space="preserve">Zitiervorschlag: § 16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