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InVeKoSV 2015 — Angaben bei Niederwald mit Kurzumtrieb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Betriebsinhaber Flächen mit Niederwald mit Kurzumtrieb im Sinne des § 3 der Direktzahlungen-Durchführungsverordnung im Sammelantrag angibt, hat er zusätzlich anzugeben:</w:t>
      </w:r>
    </w:p>
    <w:p>
      <w:pPr>
        <w:ind w:left="420"/>
      </w:pPr>
      <w:r>
        <w:t xml:space="preserve">1. das Jahr der Anlage des Niederwalds mit Kurzumtrieb und</w:t>
      </w:r>
    </w:p>
    <w:p>
      <w:pPr>
        <w:ind w:left="420"/>
      </w:pPr>
      <w:r>
        <w:t xml:space="preserve">2. das Jahr der letzten Ernte des Niederwalds mit Kurzumtrieb.</w:t>
      </w:r>
    </w:p>
    <w:p>
      <w:r>
        <w:rPr>
          <w:color w:val="555555"/>
          <w:sz w:val="17"/>
        </w:rPr>
        <w:t xml:space="preserve">Zitiervorschlag: § 13a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