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InVeKoSV 2015 — Anwendungsbereich</w:t>
      </w:r>
    </w:p>
    <w:p>
      <w:r>
        <w:rPr>
          <w:color w:val="555555"/>
          <w:sz w:val="18"/>
        </w:rPr>
        <w:t xml:space="preserve">InVeKoS-Verordnung</w:t>
      </w:r>
    </w:p>
    <w:p>
      <w:r>
        <w:rPr>
          <w:color w:val="555555"/>
          <w:sz w:val="18"/>
        </w:rPr>
        <w:t xml:space="preserve">Stand: 10.06.2019 (konsolidierte Textfassung, kein amtliches Inkrafttretensdatum)</w:t>
      </w:r>
    </w:p>
    <w:p>
      <w:r>
        <w:t xml:space="preserve">(1) Die Vorschriften dieser Verordnung gelten für die Durchführung</w:t>
      </w:r>
    </w:p>
    <w:p>
      <w:pPr>
        <w:ind w:left="420"/>
      </w:pPr>
      <w:r>
        <w:t xml:space="preserve">1. der Verordnung (EU) Nr. 1306/2013 des Europäischen Parlaments und des Rates vom 17. Dezember 2013 über die Finanzierung, die Verwaltung und das Kontrollsystem der Gemeinsamen Agrarpolitik und zur Aufhebung der Verordnungen (EWG) Nr. 352/78, (EG) Nr. 165/94, (EG) Nr. 2799/98, (EG) Nr. 814/2000, (EG) Nr. 1290/2005 und (EG) Nr. 485/2008 des Rates (ABl. L 347 vom 20.12.2013, S. 549) in der jeweils geltenden Fassung und der zu ihrer Durchführung erlassenen Rechtsakte der Europäischen Union hinsichtlich</w:t>
      </w:r>
    </w:p>
    <w:p>
      <w:pPr>
        <w:ind w:left="780"/>
      </w:pPr>
      <w:r>
        <w:t xml:space="preserve">a) des Integrierten Verwaltungs- und Kontrollsystems, soweit es nicht im Hinblick auf die Verordnung (EU) Nr. 1305/2013 des Europäischen Parlaments und des Rates vom 17. Dezember 2013 über die Förderung der ländlichen Entwicklung durch den Europäischen Landwirtschaftsfonds für die Entwicklung des ländlichen Raums (ELER) und zur Aufhebung der Verordnung (EG) Nr. 1698/2005 (ABl. L 347 vom 20.12.2013, S. 487) in der jeweils geltenden Fassung Anwendung findet,</w:t>
      </w:r>
    </w:p>
    <w:p>
      <w:pPr>
        <w:ind w:left="780"/>
      </w:pPr>
      <w:r>
        <w:t xml:space="preserve">b) der in Artikel 93 Absatz 1 bis 3 in Verbindung mit Anhang II der Verordnung (EU) Nr. 1306/2013 bezeichneten Verpflichtungen (grundlegende Anforderungen),</w:t>
      </w:r>
    </w:p>
    <w:p>
      <w:pPr>
        <w:ind w:left="420"/>
      </w:pPr>
      <w:r>
        <w:t xml:space="preserve">2. der Vorschriften der Verordnung (EU) Nr. 1307/2013 des Europäischen Parlaments und des Rates vom 17. Dezember 2013 mit Vorschriften über Direktzahlungen an Inhaber landwirtschaftlicher Betriebe im Rahmen von Stützungsregelungen der Gemeinsamen Agrarpolitik und zur Aufhebung der Verordnung (EG) Nr. 637/2008 des Rates und der Verordnung (EG) Nr. 73/2009 des Rates (ABl. L 347 vom 20.12.2013, S. 608) in der jeweils geltenden Fassung und der zu ihrer Durchführung erlassenen Rechtsakte der Europäischen Union hinsichtlich</w:t>
      </w:r>
    </w:p>
    <w:p>
      <w:pPr>
        <w:ind w:left="780"/>
      </w:pPr>
      <w:r>
        <w:t xml:space="preserve">a) der Basisprämienregelung,</w:t>
      </w:r>
    </w:p>
    <w:p>
      <w:pPr>
        <w:ind w:left="780"/>
      </w:pPr>
      <w:r>
        <w:t xml:space="preserve">b) der Umverteilungsprämie,</w:t>
      </w:r>
    </w:p>
    <w:p>
      <w:pPr>
        <w:ind w:left="780"/>
      </w:pPr>
      <w:r>
        <w:t xml:space="preserve">c) der Zahlung für dem Klima- und Umweltschutz förderliche Landbewirtschaftungsmethoden,</w:t>
      </w:r>
    </w:p>
    <w:p>
      <w:pPr>
        <w:ind w:left="780"/>
      </w:pPr>
      <w:r>
        <w:t xml:space="preserve">d) der Zahlung für Junglandwirte,</w:t>
      </w:r>
    </w:p>
    <w:p>
      <w:pPr>
        <w:ind w:left="780"/>
      </w:pPr>
      <w:r>
        <w:t xml:space="preserve">e) der Kleinerzeugerregelung,</w:t>
      </w:r>
    </w:p>
    <w:p>
      <w:pPr>
        <w:ind w:left="420"/>
      </w:pPr>
      <w:r>
        <w:t xml:space="preserve">3. der Vorschriften der Verordnung (EU) Nr. 1308/2013 des Europäischen Parlaments und des Rates vom 17. Dezember 2013 über eine gemeinsame Marktorganisation für landwirtschaftliche Erzeugnisse und zur Aufhebung der Verordnungen (EWG) Nr. 922/72, (EWG) Nr. 234/79, (EG) Nr. 1037/2001 und (EG) Nr. 1234/2007 (ABl. L 347 vom 20.12.2013, S. 671) in der jeweils geltenden Fassung und der zu ihrer Durchführung erlassenen Rechtsakte der Europäischen Union hinsichtlich</w:t>
      </w:r>
    </w:p>
    <w:p>
      <w:pPr>
        <w:ind w:left="780"/>
      </w:pPr>
      <w:r>
        <w:t xml:space="preserve">a) der Beihilfezahlungen an anerkannte Erzeugerorganisationen im Hopfensektor,</w:t>
      </w:r>
    </w:p>
    <w:p>
      <w:pPr>
        <w:ind w:left="780"/>
      </w:pPr>
      <w:r>
        <w:t xml:space="preserve">b) des Integrierten Verwaltungs- und Kontrollsystems sowie der Durchführung und Kontrolle grundlegender Anforderungen nach Artikel 93 in Verbindung mit Anhang II der Verordnung (EU) Nr. 1306/2013 hinsichtlich der flächenbezogenen Maßnahmen des Weinsektors nach Artikel 46 der Verordnung (EU) Nr. 1308/2013,</w:t>
      </w:r>
    </w:p>
    <w:p>
      <w:pPr>
        <w:ind w:left="780"/>
      </w:pPr>
      <w:r>
        <w:t xml:space="preserve">c) der finanziellen Unterstützung durch die Europäische Union, die den Erzeugerorganisationen im Sektor Obst und Gemüse gewährt werden kann,</w:t>
      </w:r>
    </w:p>
    <w:p>
      <w:pPr>
        <w:ind w:left="780"/>
      </w:pPr>
      <w:r>
        <w:t xml:space="preserve">d) der Mitteilung von Angaben im Tabaksektor,</w:t>
      </w:r>
    </w:p>
    <w:p>
      <w:pPr>
        <w:ind w:left="420"/>
      </w:pPr>
      <w:r>
        <w:t xml:space="preserve">4. des Direktzahlungen-Durchführungsgesetzes und der Direktzahlungen-Durchführungsverordnung,</w:t>
      </w:r>
    </w:p>
    <w:p>
      <w:pPr>
        <w:ind w:left="420"/>
      </w:pPr>
      <w:r>
        <w:t xml:space="preserve">5. des InVeKoS-Daten-Gesetzes,</w:t>
      </w:r>
    </w:p>
    <w:p>
      <w:pPr>
        <w:ind w:left="420"/>
      </w:pPr>
      <w:r>
        <w:t xml:space="preserve">6. des Agrarzahlungen-Verpflichtungengesetzes und der Agrarzahlungen-Verpflichtungenverordnung.</w:t>
      </w:r>
    </w:p>
    <w:p>
      <w:r>
        <w:t xml:space="preserve">(2) Auf die in Absatz 1 Nummer 3 Buchstabe c bezeichnete Stützungsregelung ist nur § 17 Absatz 2 anzuwenden.</w:t>
      </w:r>
    </w:p>
    <w:p>
      <w:r>
        <w:rPr>
          <w:color w:val="555555"/>
          <w:sz w:val="17"/>
        </w:rPr>
        <w:t xml:space="preserve">Zitiervorschlag: § 1 InVeKoSV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https://recht.nulegal.eu/gesetze/InVeKoSV%202015/1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