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InVeKoSDG 2015 — Löschungsfristen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Unbeschadet der Vorgaben nach Artikel 69 Absatz 1 Unterabsatz 2 der Verordnung (EU) Nr. 1306/2013, eines auf Artikel 50 Absatz 2 Buchstabe d der Verordnung (EU) Nr. 1306/2013 erlassenen Durchführungsrechtsakts der Europäischen Kommission oder des Absatzes 3 Nummer 1 oder 2 sind die Betriebsdaten spätestens nach Ablauf des zehnten Jahres, das auf das Jahr folgt, in dem die genannten Daten erhoben worden sind, zu löschen.</w:t>
      </w:r>
    </w:p>
    <w:p>
      <w:r>
        <w:t xml:space="preserve">(2) An die Stelle einer Löschung tritt eine Einschränkung der Verarbeitung, soweit</w:t>
      </w:r>
    </w:p>
    <w:p>
      <w:pPr>
        <w:ind w:left="420"/>
      </w:pPr>
      <w:r>
        <w:t xml:space="preserve">1. die Betriebsdaten im Einzelfall im Rechnungsabschlussverfahren nach Titel IV Kapitel IV Abschnitt II der Verordnung (EU) Nr. 1306/2013 benötigt werden oder</w:t>
      </w:r>
    </w:p>
    <w:p>
      <w:pPr>
        <w:ind w:left="420"/>
      </w:pPr>
      <w:r>
        <w:t xml:space="preserve">2. einer Löschung der Betriebsdaten gesetzliche Aufbewahrungsfristen entgegenstehen.</w:t>
      </w:r>
    </w:p>
    <w:p>
      <w:r>
        <w:rPr>
          <w:color w:val="555555"/>
          <w:sz w:val="17"/>
        </w:rPr>
        <w:t xml:space="preserve">Zitiervorschlag: § 7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