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InVeKoSDG 2015 — Übermittlung von Daten durch die Zahlstelle an die Bescheinigende Stelle</w:t>
      </w:r>
    </w:p>
    <w:p>
      <w:r>
        <w:rPr>
          <w:color w:val="555555"/>
          <w:sz w:val="18"/>
        </w:rPr>
        <w:t xml:space="preserve">InVeKoS-Daten-Gesetz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Zwecke der Stellungnahme nach Artikel 9 Absatz 1 Satz 3 der Verordnung (EU) Nr. 1306/2013 in Verbindung mit dem nach Artikel 9 Absatz 2 der Verordnung (EU) Nr. 1306/2013 von der Europäischen Kommission erlassenen Durchführungsrechtsakt übermittelt die Zahlstelle der zuständigen Bescheinigenden Stelle im Sinne des Artikels 9 Absatz 1 der Verordnung (EU) Nr. 1306/2013 die Betriebsdaten, soweit sie für die Abgabe der Stellungnahme erforderlich sind.</w:t>
      </w:r>
    </w:p>
    <w:p>
      <w:r>
        <w:rPr>
          <w:color w:val="555555"/>
          <w:sz w:val="17"/>
        </w:rPr>
        <w:t xml:space="preserve">Zitiervorschlag: § 4 InVeKoSDG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https://recht.nulegal.eu/gesetze/InVeKoSDG%202015/4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