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InVeKoSDG 2015 — Betriebsdaten</w:t>
      </w:r>
    </w:p>
    <w:p>
      <w:r>
        <w:rPr>
          <w:color w:val="555555"/>
          <w:sz w:val="18"/>
        </w:rPr>
        <w:t xml:space="preserve">InVeKoS-Daten-Gesetz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Betriebsdaten sind die in der Anlage bezeichneten Daten,</w:t>
      </w:r>
    </w:p>
    <w:p>
      <w:pPr>
        <w:ind w:left="420"/>
      </w:pPr>
      <w:r>
        <w:t xml:space="preserve">1. die im Zusammenhang mit oder im Rahmen von Anträgen bei Stützungsregelungen im Sinne des Anhangs I der Verordnung (EU) Nr. 1307/2013 einschließlich auf Zuweisung von Zahlungsansprüchen sowie im Rahmen von Anträgen nach Artikel 46 oder 47 der Verordnung (EU) Nr. 1308/2013 mitgeteilt werden,</w:t>
      </w:r>
    </w:p>
    <w:p>
      <w:pPr>
        <w:ind w:left="420"/>
      </w:pPr>
      <w:r>
        <w:t xml:space="preserve">2. die die Angaben zu Zahlungsansprüchen bei der Basisprämie im Sinne des Anhangs I der Verordnung (EU) Nr. 1307/2013 umfassen,</w:t>
      </w:r>
    </w:p>
    <w:p>
      <w:pPr>
        <w:ind w:left="420"/>
      </w:pPr>
      <w:r>
        <w:t xml:space="preserve">3. die im Rahmen von Kontrollen nach Artikel 74 und 96 der Verordnung (EU) Nr. 1306/2013 und der im Rahmen dieser Verordnung oder zu ihrer Durchführung erlassenen Rechtsakte der Europäischen Union durch die für die Verwaltung und Kontrolle zuständige Dienststelle oder Einrichtung nach Artikel 7 Absatz 1 Satz 1 oder 2 der Verordnung (EU) Nr. 1306/2013 (Zahlstelle) oder durch die für die Überwachung der Einhaltung der Verpflichtungen gemäß Artikel 93 Absatz 1 bis 3 der Verordnung (EU) Nr. 1306/2013 zuständigen Behörde (Fachüberwachungsbehörde) festgestellt werden oder</w:t>
      </w:r>
    </w:p>
    <w:p>
      <w:pPr>
        <w:ind w:left="420"/>
      </w:pPr>
      <w:r>
        <w:t xml:space="preserve">4. die von den Nummern 1 und 2 nicht umfasste bewilligungsbezogene Inhalte oder sanktionsbezogene Inhalte umfassen.</w:t>
      </w:r>
    </w:p>
    <w:p>
      <w:r>
        <w:rPr>
          <w:color w:val="555555"/>
          <w:sz w:val="17"/>
        </w:rPr>
        <w:t xml:space="preserve">Zitiervorschlag: § 2 InVeKoSDG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https://recht.nulegal.eu/gesetze/InVeKoSDG%202015/2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