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ImpfZV (Brandenburg)</w:t>
      </w:r>
    </w:p>
    <w:p>
      <w:r>
        <w:rPr>
          <w:color w:val="555555"/>
          <w:sz w:val="18"/>
        </w:rPr>
        <w:t xml:space="preserve">Impfschäden-Zuständigkeitsverordnung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Zuständig für die Gewährung von Leistungen, die</w:t>
      </w:r>
    </w:p>
    <w:p>
      <w:r>
        <w:t xml:space="preserve">den Leistungen der Kriegsopferfürsorge nach den §§ 25 bis 27j</w:t>
      </w:r>
    </w:p>
    <w:p>
      <w:r>
        <w:t xml:space="preserve">des Bundesversorgungsgesetzes entsprechen, ist das Landesamt für Soziales</w:t>
      </w:r>
    </w:p>
    <w:p>
      <w:r>
        <w:t xml:space="preserve">und Versorgung. Das gilt auch für Leistungsempfänger, die ihren</w:t>
      </w:r>
    </w:p>
    <w:p>
      <w:r>
        <w:t xml:space="preserve">Aufenthalt im Geltungsbereich des Bundes-Seuchengesetzes außerhalb des</w:t>
      </w:r>
    </w:p>
    <w:p>
      <w:r>
        <w:t xml:space="preserve">Landes Brandenburg haben.</w:t>
      </w:r>
    </w:p>
    <w:p>
      <w:r>
        <w:rPr>
          <w:color w:val="555555"/>
          <w:sz w:val="17"/>
        </w:rPr>
        <w:t xml:space="preserve">Zitiervorschlag: § 2 ImpfZV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https://recht.nulegal.eu/gesetze/ImpfZV/2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